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51172"/>
      <w:bookmarkEnd w:id="0"/>
      <w:bookmarkStart w:id="1" w:name="_Hlt450039480"/>
      <w:bookmarkEnd w:id="1"/>
      <w:bookmarkStart w:id="2" w:name="_Hlt449016246"/>
      <w:bookmarkEnd w:id="2"/>
      <w:bookmarkStart w:id="3" w:name="_Hlt448930105"/>
      <w:bookmarkEnd w:id="3"/>
      <w:bookmarkStart w:id="4" w:name="_Hlt450066085"/>
      <w:bookmarkEnd w:id="4"/>
      <w:bookmarkStart w:id="5" w:name="_Hlt450066087"/>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lang w:val="en-US" w:eastAsia="zh-CN"/>
        </w:rPr>
        <w:tab/>
      </w:r>
      <w:r>
        <w:rPr>
          <w:rFonts w:hint="eastAsia" w:ascii="Arial" w:hAnsi="Arial" w:cs="Arial"/>
          <w:b/>
          <w:sz w:val="24"/>
          <w:szCs w:val="24"/>
          <w:lang w:val="en-US" w:eastAsia="zh-CN"/>
        </w:rPr>
        <w:t>R4-2415903</w:t>
      </w:r>
      <w:bookmarkStart w:id="16" w:name="_GoBack"/>
      <w:bookmarkEnd w:id="16"/>
    </w:p>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Further discussion on 6Rx SRS antenna switching requirements</w:t>
      </w:r>
    </w:p>
    <w:p>
      <w:pPr>
        <w:keepNext/>
        <w:keepLines/>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color w:val="auto"/>
          <w:sz w:val="24"/>
          <w:highlight w:val="none"/>
          <w:lang w:val="en-US" w:eastAsia="zh-CN"/>
        </w:rPr>
        <w:t>6.1.1.3.3</w:t>
      </w:r>
    </w:p>
    <w:p>
      <w:pPr>
        <w:keepNext/>
        <w:keepLines/>
        <w:pageBreakBefore w:val="0"/>
        <w:widowControl w:val="0"/>
        <w:tabs>
          <w:tab w:val="left" w:pos="1985"/>
        </w:tabs>
        <w:kinsoku/>
        <w:wordWrap/>
        <w:topLinePunct w:val="0"/>
        <w:bidi w:val="0"/>
        <w:snapToGrid/>
        <w:spacing w:before="120" w:after="120"/>
        <w:ind w:left="1980" w:hanging="1980"/>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 xml:space="preserve">In last meeting, some agreements are included in the approved WF[2], in which the SRS antenna switching and </w:t>
      </w:r>
      <w:r>
        <w:rPr>
          <w:rFonts w:hint="default" w:ascii="Times New Roman" w:hAnsi="Times New Roman" w:cs="Times New Roman"/>
          <w:b w:val="0"/>
          <w:bCs w:val="0"/>
          <w:i w:val="0"/>
          <w:iCs w:val="0"/>
          <w:color w:val="auto"/>
          <w:sz w:val="20"/>
          <w:szCs w:val="20"/>
          <w:lang w:val="en-GB" w:eastAsia="zh-CN"/>
        </w:rPr>
        <w:t>∆</w:t>
      </w:r>
      <w:r>
        <w:rPr>
          <w:rFonts w:hint="eastAsia"/>
          <w:b w:val="0"/>
          <w:bCs w:val="0"/>
          <w:i w:val="0"/>
          <w:iCs w:val="0"/>
          <w:color w:val="auto"/>
          <w:sz w:val="20"/>
          <w:szCs w:val="20"/>
          <w:lang w:val="en-GB" w:eastAsia="zh-CN"/>
        </w:rPr>
        <w:t>T</w:t>
      </w:r>
      <w:r>
        <w:rPr>
          <w:rFonts w:hint="eastAsia"/>
          <w:b w:val="0"/>
          <w:bCs w:val="0"/>
          <w:i w:val="0"/>
          <w:iCs w:val="0"/>
          <w:color w:val="auto"/>
          <w:sz w:val="20"/>
          <w:szCs w:val="20"/>
          <w:vertAlign w:val="subscript"/>
          <w:lang w:val="en-GB" w:eastAsia="zh-CN"/>
        </w:rPr>
        <w:t>RxSRS</w:t>
      </w:r>
      <w:r>
        <w:rPr>
          <w:rFonts w:hint="eastAsia"/>
          <w:b/>
          <w:bCs/>
          <w:i w:val="0"/>
          <w:iCs w:val="0"/>
          <w:color w:val="auto"/>
          <w:sz w:val="20"/>
          <w:szCs w:val="20"/>
          <w:lang w:val="en-US" w:eastAsia="zh-CN"/>
        </w:rPr>
        <w:t xml:space="preserve"> </w:t>
      </w:r>
      <w:r>
        <w:rPr>
          <w:rFonts w:hint="eastAsia" w:cs="Times New Roman"/>
          <w:sz w:val="20"/>
          <w:szCs w:val="20"/>
          <w:lang w:val="en-US" w:eastAsia="zh-CN"/>
        </w:rPr>
        <w:t>requirements were shown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zh-CN" w:bidi="ar-SA"/>
              </w:rPr>
            </w:pPr>
            <w:r>
              <w:rPr>
                <w:rFonts w:ascii="Arial" w:hAnsi="Arial" w:eastAsia="Times New Roman" w:cs="Times New Roman"/>
                <w:sz w:val="36"/>
                <w:lang w:val="en-GB" w:eastAsia="en-GB" w:bidi="ar-SA"/>
              </w:rPr>
              <w:t>Topic 2:</w:t>
            </w:r>
            <w:r>
              <w:rPr>
                <w:rFonts w:ascii="Arial" w:hAnsi="Arial" w:eastAsia="Times New Roman" w:cs="Times New Roman"/>
                <w:sz w:val="36"/>
                <w:lang w:val="en-GB" w:eastAsia="en-GB" w:bidi="ar-SA"/>
              </w:rPr>
              <w:tab/>
            </w:r>
            <w:r>
              <w:rPr>
                <w:rFonts w:ascii="Arial" w:hAnsi="Arial" w:eastAsia="Times New Roman" w:cs="Times New Roman"/>
                <w:sz w:val="36"/>
                <w:lang w:val="pt-BR" w:eastAsia="en-GB" w:bidi="ar-SA"/>
              </w:rPr>
              <w:t>SRS antenna switching and ΔT</w:t>
            </w:r>
            <w:r>
              <w:rPr>
                <w:rFonts w:ascii="Arial" w:hAnsi="Arial" w:eastAsia="Times New Roman" w:cs="Times New Roman"/>
                <w:sz w:val="36"/>
                <w:vertAlign w:val="subscript"/>
                <w:lang w:val="pt-BR" w:eastAsia="en-GB" w:bidi="ar-SA"/>
              </w:rPr>
              <w:t>RxSRS</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GB" w:bidi="ar-SA"/>
              </w:rPr>
              <w:t>Sub-topic 2-1: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 considerations for SRS antenna switching and ΔT</w:t>
            </w:r>
            <w:r>
              <w:rPr>
                <w:rFonts w:ascii="Arial" w:hAnsi="Arial" w:eastAsia="Times New Roman" w:cs="Times New Roman"/>
                <w:sz w:val="32"/>
                <w:vertAlign w:val="subscript"/>
                <w:lang w:val="en-GB" w:eastAsia="en-GB" w:bidi="ar-SA"/>
              </w:rPr>
              <w:t>RxSRS</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u w:val="single"/>
                <w:lang w:val="en-GB" w:eastAsia="ko-KR"/>
              </w:rPr>
              <w:t>Issue 2-1-1: Whether to consider an additional breakpoint for bands whose FUL_high is higher than the FUL_low of n104</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Further discuss the following options.</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kern w:val="0"/>
                <w:sz w:val="20"/>
                <w:lang w:val="en-GB" w:eastAsia="zh-CN"/>
              </w:rPr>
              <w:t>Option 1: Do not consider an additional breakpoint for bands whose FUL_high is higher than the FUL_low of n104</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kern w:val="0"/>
                <w:sz w:val="20"/>
                <w:lang w:val="en-GB" w:eastAsia="zh-CN"/>
              </w:rPr>
              <w:t>Option 2: Consider additional breakpoint for bands whose FUL_high is higher than the FUL_low of n104</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u w:val="single"/>
                <w:lang w:val="en-GB" w:eastAsia="ko-KR"/>
              </w:rPr>
              <w:t>Issue 2-1-2: Whether to consider separate ∆T</w:t>
            </w:r>
            <w:r>
              <w:rPr>
                <w:rFonts w:ascii="Times New Roman" w:hAnsi="Times New Roman" w:eastAsia="Times New Roman" w:cs="Times New Roman"/>
                <w:b/>
                <w:kern w:val="0"/>
                <w:sz w:val="20"/>
                <w:u w:val="single"/>
                <w:vertAlign w:val="subscript"/>
                <w:lang w:val="en-GB" w:eastAsia="ko-KR"/>
              </w:rPr>
              <w:t>RxSRS</w:t>
            </w:r>
            <w:r>
              <w:rPr>
                <w:rFonts w:ascii="Times New Roman" w:hAnsi="Times New Roman" w:eastAsia="Times New Roman" w:cs="Times New Roman"/>
                <w:b/>
                <w:kern w:val="0"/>
                <w:sz w:val="20"/>
                <w:u w:val="single"/>
                <w:lang w:val="en-GB" w:eastAsia="ko-KR"/>
              </w:rPr>
              <w:t xml:space="preserve"> values when the device is power class 2 in the band and ΔP</w:t>
            </w:r>
            <w:r>
              <w:rPr>
                <w:rFonts w:ascii="Times New Roman" w:hAnsi="Times New Roman" w:eastAsia="Times New Roman" w:cs="Times New Roman"/>
                <w:b/>
                <w:kern w:val="0"/>
                <w:sz w:val="20"/>
                <w:u w:val="single"/>
                <w:vertAlign w:val="subscript"/>
                <w:lang w:val="en-GB" w:eastAsia="ko-KR"/>
              </w:rPr>
              <w:t>PowerClass</w:t>
            </w:r>
            <w:r>
              <w:rPr>
                <w:rFonts w:ascii="Times New Roman" w:hAnsi="Times New Roman" w:eastAsia="Times New Roman" w:cs="Times New Roman"/>
                <w:b/>
                <w:kern w:val="0"/>
                <w:sz w:val="20"/>
                <w:u w:val="single"/>
                <w:lang w:val="en-GB" w:eastAsia="ko-KR"/>
              </w:rPr>
              <w:t xml:space="preserve"> = 0dB and not indicating Tx diversity capability</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Agreement</w:t>
            </w:r>
            <w:r>
              <w:rPr>
                <w:rFonts w:ascii="Times New Roman" w:hAnsi="Times New Roman" w:eastAsia="Times New Roman" w:cs="Times New Roman"/>
                <w:kern w:val="0"/>
                <w:sz w:val="20"/>
                <w:lang w:val="en-GB" w:eastAsia="zh-CN"/>
              </w:rPr>
              <w:t>: Have additional 3dB for power class 2 when ΔP</w:t>
            </w:r>
            <w:r>
              <w:rPr>
                <w:rFonts w:ascii="Times New Roman" w:hAnsi="Times New Roman" w:eastAsia="Times New Roman" w:cs="Times New Roman"/>
                <w:kern w:val="0"/>
                <w:sz w:val="20"/>
                <w:vertAlign w:val="subscript"/>
                <w:lang w:val="en-GB" w:eastAsia="zh-CN"/>
              </w:rPr>
              <w:t>PowerClass</w:t>
            </w:r>
            <w:r>
              <w:rPr>
                <w:rFonts w:ascii="Times New Roman" w:hAnsi="Times New Roman" w:eastAsia="Times New Roman" w:cs="Times New Roman"/>
                <w:kern w:val="0"/>
                <w:sz w:val="20"/>
                <w:lang w:val="en-GB" w:eastAsia="zh-CN"/>
              </w:rPr>
              <w:t xml:space="preserve"> = 0dB and not indicating Tx diversity capability.</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GB" w:bidi="ar-SA"/>
              </w:rPr>
              <w:t>Sub-topic 2-2:</w:t>
            </w:r>
            <w:r>
              <w:rPr>
                <w:rFonts w:ascii="Arial" w:hAnsi="Arial" w:eastAsia="Times New Roman" w:cs="Times New Roman"/>
                <w:sz w:val="32"/>
                <w:lang w:val="en-GB" w:eastAsia="en-GB" w:bidi="ar-SA"/>
              </w:rPr>
              <w:tab/>
            </w:r>
            <w:r>
              <w:rPr>
                <w:rFonts w:ascii="Arial" w:hAnsi="Arial" w:eastAsia="Times New Roman" w:cs="Times New Roman"/>
                <w:sz w:val="32"/>
                <w:lang w:val="pt-BR" w:eastAsia="en-GB" w:bidi="ar-SA"/>
              </w:rPr>
              <w:t>ΔT</w:t>
            </w:r>
            <w:r>
              <w:rPr>
                <w:rFonts w:ascii="Arial" w:hAnsi="Arial" w:eastAsia="Times New Roman" w:cs="Times New Roman"/>
                <w:sz w:val="32"/>
                <w:vertAlign w:val="subscript"/>
                <w:lang w:val="pt-BR" w:eastAsia="en-GB" w:bidi="ar-SA"/>
              </w:rPr>
              <w:t>RxSRS</w:t>
            </w:r>
            <w:r>
              <w:rPr>
                <w:rFonts w:ascii="Arial" w:hAnsi="Arial" w:eastAsia="Times New Roman" w:cs="Times New Roman"/>
                <w:sz w:val="32"/>
                <w:lang w:val="en-GB" w:eastAsia="en-GB" w:bidi="ar-SA"/>
              </w:rPr>
              <w:t xml:space="preserve"> values</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u w:val="single"/>
                <w:lang w:val="en-GB" w:eastAsia="ko-KR"/>
              </w:rPr>
              <w:t>Issue 2-2-1: Proposed ∆T</w:t>
            </w:r>
            <w:r>
              <w:rPr>
                <w:rFonts w:ascii="Times New Roman" w:hAnsi="Times New Roman" w:eastAsia="Times New Roman" w:cs="Times New Roman"/>
                <w:b/>
                <w:kern w:val="0"/>
                <w:sz w:val="20"/>
                <w:u w:val="single"/>
                <w:vertAlign w:val="subscript"/>
                <w:lang w:val="en-GB" w:eastAsia="ko-KR"/>
              </w:rPr>
              <w:t>RxSRS</w:t>
            </w:r>
            <w:r>
              <w:rPr>
                <w:rFonts w:ascii="Times New Roman" w:hAnsi="Times New Roman" w:eastAsia="Times New Roman" w:cs="Times New Roman"/>
                <w:b/>
                <w:kern w:val="0"/>
                <w:sz w:val="20"/>
                <w:u w:val="single"/>
                <w:lang w:val="en-GB" w:eastAsia="ko-KR"/>
              </w:rPr>
              <w:t xml:space="preserve"> values</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RAN4 agrees to adopt the average values for Bands n41, n77, and n78. For Band n79 and n104, further analysis is needed. Take Option 10 and option 11 as the starting point, not precluding any other numbers.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Adopt the average values from companies </w:t>
            </w:r>
            <w:r>
              <w:rPr>
                <w:rFonts w:ascii="Times New Roman" w:hAnsi="Times New Roman" w:eastAsia="Times New Roman" w:cs="Times New Roman"/>
                <w:lang w:val="en-GB" w:eastAsia="zh-CN" w:bidi="ar-SA"/>
              </w:rPr>
              <w:t>(updated to include company proposals from RAN4#111)</w:t>
            </w:r>
            <w:r>
              <w:rPr>
                <w:rFonts w:ascii="Times New Roman" w:hAnsi="Times New Roman" w:eastAsia="宋体" w:cs="Times New Roman"/>
                <w:lang w:val="en-GB" w:eastAsia="zh-CN" w:bidi="ar-SA"/>
              </w:rPr>
              <w:t xml:space="preserve"> as summarized below and specify the values for </w:t>
            </w:r>
            <w:r>
              <w:rPr>
                <w:rFonts w:ascii="Times New Roman" w:hAnsi="Times New Roman" w:eastAsia="宋体" w:cs="Times New Roman"/>
                <w:bCs/>
                <w:lang w:val="en-GB" w:eastAsia="zh-CN" w:bidi="ar-SA"/>
              </w:rPr>
              <w:t>ΔT</w:t>
            </w:r>
            <w:r>
              <w:rPr>
                <w:rFonts w:ascii="Times New Roman" w:hAnsi="Times New Roman" w:eastAsia="宋体" w:cs="Times New Roman"/>
                <w:bCs/>
                <w:vertAlign w:val="subscript"/>
                <w:lang w:val="en-GB" w:eastAsia="zh-CN" w:bidi="ar-SA"/>
              </w:rPr>
              <w:t>RxSRS</w:t>
            </w:r>
            <w:r>
              <w:rPr>
                <w:rFonts w:ascii="Times New Roman" w:hAnsi="Times New Roman" w:eastAsia="宋体" w:cs="Times New Roman"/>
                <w:bCs/>
                <w:lang w:val="en-GB" w:eastAsia="zh-CN" w:bidi="ar-SA"/>
              </w:rPr>
              <w:t xml:space="preserve"> for bands whose F</w:t>
            </w:r>
            <w:r>
              <w:rPr>
                <w:rFonts w:ascii="Times New Roman" w:hAnsi="Times New Roman" w:eastAsia="宋体" w:cs="Times New Roman"/>
                <w:bCs/>
                <w:vertAlign w:val="subscript"/>
                <w:lang w:val="en-GB" w:eastAsia="zh-CN" w:bidi="ar-SA"/>
              </w:rPr>
              <w:t>UL_high</w:t>
            </w:r>
            <w:r>
              <w:rPr>
                <w:rFonts w:ascii="Times New Roman" w:hAnsi="Times New Roman" w:eastAsia="宋体" w:cs="Times New Roman"/>
                <w:bCs/>
                <w:lang w:val="en-GB" w:eastAsia="zh-CN" w:bidi="ar-SA"/>
              </w:rPr>
              <w:t xml:space="preserve"> is lower than the F</w:t>
            </w:r>
            <w:r>
              <w:rPr>
                <w:rFonts w:ascii="Times New Roman" w:hAnsi="Times New Roman" w:eastAsia="宋体" w:cs="Times New Roman"/>
                <w:bCs/>
                <w:vertAlign w:val="subscript"/>
                <w:lang w:val="en-GB" w:eastAsia="zh-CN" w:bidi="ar-SA"/>
              </w:rPr>
              <w:t>UL_low</w:t>
            </w:r>
            <w:r>
              <w:rPr>
                <w:rFonts w:ascii="Times New Roman" w:hAnsi="Times New Roman" w:eastAsia="宋体" w:cs="Times New Roman"/>
                <w:bCs/>
                <w:lang w:val="en-GB" w:eastAsia="zh-CN" w:bidi="ar-SA"/>
              </w:rPr>
              <w:t xml:space="preserve"> of n79</w:t>
            </w:r>
            <w:r>
              <w:rPr>
                <w:rFonts w:ascii="Times New Roman" w:hAnsi="Times New Roman" w:eastAsia="Times New Roman" w:cs="Times New Roman"/>
                <w:lang w:val="en-GB" w:eastAsia="zh-CN" w:bidi="ar-SA"/>
              </w:rPr>
              <w:t>.</w:t>
            </w:r>
          </w:p>
          <w:p>
            <w:pPr>
              <w:overflowPunct w:val="0"/>
              <w:autoSpaceDE w:val="0"/>
              <w:autoSpaceDN w:val="0"/>
              <w:adjustRightInd w:val="0"/>
              <w:spacing w:beforeLines="-2147483648" w:after="120" w:afterLines="-2147483648" w:line="240" w:lineRule="auto"/>
              <w:ind w:left="1080"/>
              <w:jc w:val="center"/>
              <w:textAlignment w:val="baseline"/>
              <w:rPr>
                <w:rFonts w:ascii="Times New Roman" w:hAnsi="Times New Roman" w:eastAsia="Times New Roman" w:cs="Times New Roman"/>
                <w:kern w:val="0"/>
                <w:sz w:val="20"/>
                <w:szCs w:val="24"/>
                <w:lang w:val="en-GB" w:eastAsia="zh-CN"/>
              </w:rPr>
            </w:pPr>
            <w:r>
              <w:rPr>
                <w:rFonts w:ascii="Times New Roman" w:hAnsi="Times New Roman" w:eastAsia="Times New Roman" w:cs="Times New Roman"/>
                <w:b/>
                <w:kern w:val="0"/>
                <w:sz w:val="20"/>
                <w:szCs w:val="24"/>
                <w:lang w:val="en-GB" w:eastAsia="zh-CN"/>
              </w:rPr>
              <w:t>Table: Averaged values based on proposals</w:t>
            </w:r>
          </w:p>
          <w:tbl>
            <w:tblPr>
              <w:tblStyle w:val="23"/>
              <w:tblW w:w="0" w:type="auto"/>
              <w:jc w:val="center"/>
              <w:tblLayout w:type="autofit"/>
              <w:tblCellMar>
                <w:top w:w="0" w:type="dxa"/>
                <w:left w:w="108" w:type="dxa"/>
                <w:bottom w:w="0" w:type="dxa"/>
                <w:right w:w="108" w:type="dxa"/>
              </w:tblCellMar>
            </w:tblPr>
            <w:tblGrid>
              <w:gridCol w:w="856"/>
              <w:gridCol w:w="1631"/>
              <w:gridCol w:w="1682"/>
              <w:gridCol w:w="1682"/>
              <w:gridCol w:w="2167"/>
            </w:tblGrid>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Operating Bands</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t1r6 (dB)</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t2r6 (dB)</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t1r6-t2r6 (dB)</w:t>
                  </w:r>
                </w:p>
              </w:tc>
            </w:tr>
            <w:tr>
              <w:tblPrEx>
                <w:tblCellMar>
                  <w:top w:w="0" w:type="dxa"/>
                  <w:left w:w="108" w:type="dxa"/>
                  <w:bottom w:w="0" w:type="dxa"/>
                  <w:right w:w="108" w:type="dxa"/>
                </w:tblCellMar>
              </w:tblPrEx>
              <w:trPr>
                <w:trHeight w:val="276"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Average</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 n77, n78</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4.0</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3.5</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4.5</w:t>
                  </w:r>
                </w:p>
              </w:tc>
            </w:tr>
          </w:tbl>
          <w:p>
            <w:pPr>
              <w:overflowPunct w:val="0"/>
              <w:autoSpaceDE w:val="0"/>
              <w:autoSpaceDN w:val="0"/>
              <w:adjustRightInd w:val="0"/>
              <w:spacing w:after="180"/>
              <w:ind w:left="0" w:firstLine="0"/>
              <w:textAlignment w:val="baseline"/>
              <w:rPr>
                <w:rFonts w:ascii="Times New Roman" w:hAnsi="Times New Roman" w:eastAsia="Times New Roman" w:cs="Times New Roman"/>
                <w:lang w:val="en-GB" w:eastAsia="zh-CN" w:bidi="ar-SA"/>
              </w:rPr>
            </w:pP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Option 10: Adopt the average values from companies </w:t>
            </w:r>
            <w:r>
              <w:rPr>
                <w:rFonts w:ascii="Times New Roman" w:hAnsi="Times New Roman" w:eastAsia="Times New Roman" w:cs="Times New Roman"/>
                <w:lang w:val="en-GB" w:eastAsia="zh-CN" w:bidi="ar-SA"/>
              </w:rPr>
              <w:t xml:space="preserve">(updated to include company proposals from RAN4#111) </w:t>
            </w:r>
            <w:r>
              <w:rPr>
                <w:rFonts w:ascii="Times New Roman" w:hAnsi="Times New Roman" w:eastAsia="宋体" w:cs="Times New Roman"/>
                <w:lang w:val="en-GB" w:eastAsia="zh-CN" w:bidi="ar-SA"/>
              </w:rPr>
              <w:t xml:space="preserve">as summarized below and specify the values for </w:t>
            </w:r>
            <w:r>
              <w:rPr>
                <w:rFonts w:ascii="Times New Roman" w:hAnsi="Times New Roman" w:eastAsia="宋体" w:cs="Times New Roman"/>
                <w:bCs/>
                <w:lang w:val="en-GB" w:eastAsia="zh-CN" w:bidi="ar-SA"/>
              </w:rPr>
              <w:t>ΔT</w:t>
            </w:r>
            <w:r>
              <w:rPr>
                <w:rFonts w:ascii="Times New Roman" w:hAnsi="Times New Roman" w:eastAsia="宋体" w:cs="Times New Roman"/>
                <w:bCs/>
                <w:vertAlign w:val="subscript"/>
                <w:lang w:val="en-GB" w:eastAsia="zh-CN" w:bidi="ar-SA"/>
              </w:rPr>
              <w:t>RxSRS</w:t>
            </w:r>
            <w:r>
              <w:rPr>
                <w:rFonts w:ascii="Times New Roman" w:hAnsi="Times New Roman" w:eastAsia="宋体" w:cs="Times New Roman"/>
                <w:bCs/>
                <w:lang w:val="en-GB" w:eastAsia="zh-CN" w:bidi="ar-SA"/>
              </w:rPr>
              <w:t xml:space="preserve"> without considering an additional breakpoint for bands </w:t>
            </w:r>
            <w:r>
              <w:rPr>
                <w:rFonts w:ascii="Times New Roman" w:hAnsi="Times New Roman" w:eastAsia="Times New Roman" w:cs="Times New Roman"/>
                <w:lang w:val="en-GB" w:eastAsia="zh-CN" w:bidi="ar-SA"/>
              </w:rPr>
              <w:t xml:space="preserve">whose </w:t>
            </w:r>
            <w:r>
              <w:rPr>
                <w:rFonts w:ascii="Times New Roman" w:hAnsi="Times New Roman" w:eastAsia="宋体" w:cs="Times New Roman"/>
                <w:bCs/>
                <w:lang w:val="en-GB" w:eastAsia="zh-CN" w:bidi="ar-SA"/>
              </w:rPr>
              <w:t>F</w:t>
            </w:r>
            <w:r>
              <w:rPr>
                <w:rFonts w:ascii="Times New Roman" w:hAnsi="Times New Roman" w:eastAsia="宋体" w:cs="Times New Roman"/>
                <w:bCs/>
                <w:vertAlign w:val="subscript"/>
                <w:lang w:val="en-GB" w:eastAsia="zh-CN" w:bidi="ar-SA"/>
              </w:rPr>
              <w:t>UL_high</w:t>
            </w:r>
            <w:r>
              <w:rPr>
                <w:rFonts w:ascii="Times New Roman" w:hAnsi="Times New Roman" w:eastAsia="宋体" w:cs="Times New Roman"/>
                <w:bCs/>
                <w:lang w:val="en-GB" w:eastAsia="zh-CN" w:bidi="ar-SA"/>
              </w:rPr>
              <w:t xml:space="preserve"> is lower than the F</w:t>
            </w:r>
            <w:r>
              <w:rPr>
                <w:rFonts w:ascii="Times New Roman" w:hAnsi="Times New Roman" w:eastAsia="宋体" w:cs="Times New Roman"/>
                <w:bCs/>
                <w:vertAlign w:val="subscript"/>
                <w:lang w:val="en-GB" w:eastAsia="zh-CN" w:bidi="ar-SA"/>
              </w:rPr>
              <w:t>UL_low</w:t>
            </w:r>
            <w:r>
              <w:rPr>
                <w:rFonts w:ascii="Times New Roman" w:hAnsi="Times New Roman" w:eastAsia="宋体" w:cs="Times New Roman"/>
                <w:bCs/>
                <w:lang w:val="en-GB" w:eastAsia="zh-CN" w:bidi="ar-SA"/>
              </w:rPr>
              <w:t xml:space="preserve"> of </w:t>
            </w:r>
            <w:r>
              <w:rPr>
                <w:rFonts w:ascii="Times New Roman" w:hAnsi="Times New Roman" w:eastAsia="Times New Roman" w:cs="Times New Roman"/>
                <w:lang w:val="en-GB" w:eastAsia="zh-CN" w:bidi="ar-SA"/>
              </w:rPr>
              <w:t>n104.</w:t>
            </w:r>
          </w:p>
          <w:p>
            <w:pPr>
              <w:overflowPunct w:val="0"/>
              <w:autoSpaceDE w:val="0"/>
              <w:autoSpaceDN w:val="0"/>
              <w:adjustRightInd w:val="0"/>
              <w:spacing w:beforeLines="-2147483648" w:after="120" w:afterLines="-2147483648" w:line="240" w:lineRule="auto"/>
              <w:ind w:left="1080"/>
              <w:jc w:val="center"/>
              <w:textAlignment w:val="baseline"/>
              <w:rPr>
                <w:rFonts w:ascii="Times New Roman" w:hAnsi="Times New Roman" w:eastAsia="Times New Roman" w:cs="Times New Roman"/>
                <w:kern w:val="0"/>
                <w:sz w:val="20"/>
                <w:szCs w:val="24"/>
                <w:lang w:val="en-GB" w:eastAsia="zh-CN"/>
              </w:rPr>
            </w:pPr>
            <w:r>
              <w:rPr>
                <w:rFonts w:ascii="Times New Roman" w:hAnsi="Times New Roman" w:eastAsia="Times New Roman" w:cs="Times New Roman"/>
                <w:b/>
                <w:kern w:val="0"/>
                <w:sz w:val="20"/>
                <w:szCs w:val="24"/>
                <w:lang w:val="en-GB" w:eastAsia="zh-CN"/>
              </w:rPr>
              <w:t>Table: Averaged values based on proposals</w:t>
            </w:r>
          </w:p>
          <w:tbl>
            <w:tblPr>
              <w:tblStyle w:val="23"/>
              <w:tblW w:w="0" w:type="auto"/>
              <w:jc w:val="center"/>
              <w:tblLayout w:type="autofit"/>
              <w:tblCellMar>
                <w:top w:w="0" w:type="dxa"/>
                <w:left w:w="108" w:type="dxa"/>
                <w:bottom w:w="0" w:type="dxa"/>
                <w:right w:w="108" w:type="dxa"/>
              </w:tblCellMar>
            </w:tblPr>
            <w:tblGrid>
              <w:gridCol w:w="856"/>
              <w:gridCol w:w="1431"/>
              <w:gridCol w:w="1682"/>
              <w:gridCol w:w="1682"/>
              <w:gridCol w:w="2167"/>
            </w:tblGrid>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Operating Bands</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t1r6 (dB)</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t2r6 (dB)</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t1r6-t2r6 (dB)</w:t>
                  </w:r>
                </w:p>
              </w:tc>
            </w:tr>
            <w:tr>
              <w:tblPrEx>
                <w:tblCellMar>
                  <w:top w:w="0" w:type="dxa"/>
                  <w:left w:w="108" w:type="dxa"/>
                  <w:bottom w:w="0" w:type="dxa"/>
                  <w:right w:w="108" w:type="dxa"/>
                </w:tblCellMar>
              </w:tblPrEx>
              <w:trPr>
                <w:trHeight w:val="276" w:hRule="atLeast"/>
                <w:jc w:val="center"/>
              </w:trPr>
              <w:tc>
                <w:tcPr>
                  <w:tcW w:w="0" w:type="auto"/>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Average</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n79, n104</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5.4</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4.7</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5.9</w:t>
                  </w:r>
                </w:p>
              </w:tc>
            </w:tr>
          </w:tbl>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color w:val="0070C0"/>
                <w:kern w:val="0"/>
                <w:sz w:val="20"/>
                <w:lang w:val="en-GB" w:eastAsia="zh-CN"/>
              </w:rPr>
            </w:pP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Option 11: Adopt the average values from companies </w:t>
            </w:r>
            <w:r>
              <w:rPr>
                <w:rFonts w:ascii="Times New Roman" w:hAnsi="Times New Roman" w:eastAsia="Times New Roman" w:cs="Times New Roman"/>
                <w:lang w:val="en-GB" w:eastAsia="zh-CN" w:bidi="ar-SA"/>
              </w:rPr>
              <w:t xml:space="preserve">(updated to include company proposals from RAN4#111) </w:t>
            </w:r>
            <w:r>
              <w:rPr>
                <w:rFonts w:ascii="Times New Roman" w:hAnsi="Times New Roman" w:eastAsia="宋体" w:cs="Times New Roman"/>
                <w:lang w:val="en-GB" w:eastAsia="zh-CN" w:bidi="ar-SA"/>
              </w:rPr>
              <w:t xml:space="preserve">as summarized below and specify the values for </w:t>
            </w:r>
            <w:r>
              <w:rPr>
                <w:rFonts w:ascii="Times New Roman" w:hAnsi="Times New Roman" w:eastAsia="宋体" w:cs="Times New Roman"/>
                <w:bCs/>
                <w:lang w:val="en-GB" w:eastAsia="zh-CN" w:bidi="ar-SA"/>
              </w:rPr>
              <w:t>ΔT</w:t>
            </w:r>
            <w:r>
              <w:rPr>
                <w:rFonts w:ascii="Times New Roman" w:hAnsi="Times New Roman" w:eastAsia="宋体" w:cs="Times New Roman"/>
                <w:bCs/>
                <w:vertAlign w:val="subscript"/>
                <w:lang w:val="en-GB" w:eastAsia="zh-CN" w:bidi="ar-SA"/>
              </w:rPr>
              <w:t>RxSRS</w:t>
            </w:r>
            <w:r>
              <w:rPr>
                <w:rFonts w:ascii="Times New Roman" w:hAnsi="Times New Roman" w:eastAsia="宋体" w:cs="Times New Roman"/>
                <w:bCs/>
                <w:lang w:val="en-GB" w:eastAsia="zh-CN" w:bidi="ar-SA"/>
              </w:rPr>
              <w:t xml:space="preserve"> considering an additional breakpoint for bands </w:t>
            </w:r>
            <w:r>
              <w:rPr>
                <w:rFonts w:ascii="Times New Roman" w:hAnsi="Times New Roman" w:eastAsia="Times New Roman" w:cs="Times New Roman"/>
                <w:lang w:val="en-GB" w:eastAsia="zh-CN" w:bidi="ar-SA"/>
              </w:rPr>
              <w:t xml:space="preserve">whose </w:t>
            </w:r>
            <w:r>
              <w:rPr>
                <w:rFonts w:ascii="Times New Roman" w:hAnsi="Times New Roman" w:eastAsia="宋体" w:cs="Times New Roman"/>
                <w:bCs/>
                <w:lang w:val="en-GB" w:eastAsia="zh-CN" w:bidi="ar-SA"/>
              </w:rPr>
              <w:t>F</w:t>
            </w:r>
            <w:r>
              <w:rPr>
                <w:rFonts w:ascii="Times New Roman" w:hAnsi="Times New Roman" w:eastAsia="宋体" w:cs="Times New Roman"/>
                <w:bCs/>
                <w:vertAlign w:val="subscript"/>
                <w:lang w:val="en-GB" w:eastAsia="zh-CN" w:bidi="ar-SA"/>
              </w:rPr>
              <w:t>UL_high</w:t>
            </w:r>
            <w:r>
              <w:rPr>
                <w:rFonts w:ascii="Times New Roman" w:hAnsi="Times New Roman" w:eastAsia="宋体" w:cs="Times New Roman"/>
                <w:bCs/>
                <w:lang w:val="en-GB" w:eastAsia="zh-CN" w:bidi="ar-SA"/>
              </w:rPr>
              <w:t xml:space="preserve"> is lower than the F</w:t>
            </w:r>
            <w:r>
              <w:rPr>
                <w:rFonts w:ascii="Times New Roman" w:hAnsi="Times New Roman" w:eastAsia="宋体" w:cs="Times New Roman"/>
                <w:bCs/>
                <w:vertAlign w:val="subscript"/>
                <w:lang w:val="en-GB" w:eastAsia="zh-CN" w:bidi="ar-SA"/>
              </w:rPr>
              <w:t>UL_low</w:t>
            </w:r>
            <w:r>
              <w:rPr>
                <w:rFonts w:ascii="Times New Roman" w:hAnsi="Times New Roman" w:eastAsia="宋体" w:cs="Times New Roman"/>
                <w:bCs/>
                <w:lang w:val="en-GB" w:eastAsia="zh-CN" w:bidi="ar-SA"/>
              </w:rPr>
              <w:t xml:space="preserve"> of </w:t>
            </w:r>
            <w:r>
              <w:rPr>
                <w:rFonts w:ascii="Times New Roman" w:hAnsi="Times New Roman" w:eastAsia="Times New Roman" w:cs="Times New Roman"/>
                <w:lang w:val="en-GB" w:eastAsia="zh-CN" w:bidi="ar-SA"/>
              </w:rPr>
              <w:t>n104.</w:t>
            </w:r>
          </w:p>
          <w:p>
            <w:pPr>
              <w:overflowPunct w:val="0"/>
              <w:autoSpaceDE w:val="0"/>
              <w:autoSpaceDN w:val="0"/>
              <w:adjustRightInd w:val="0"/>
              <w:spacing w:beforeLines="-2147483648" w:after="120" w:afterLines="-2147483648" w:line="240" w:lineRule="auto"/>
              <w:ind w:left="1080"/>
              <w:jc w:val="center"/>
              <w:textAlignment w:val="baseline"/>
              <w:rPr>
                <w:rFonts w:ascii="Times New Roman" w:hAnsi="Times New Roman" w:eastAsia="Times New Roman" w:cs="Times New Roman"/>
                <w:kern w:val="0"/>
                <w:sz w:val="20"/>
                <w:szCs w:val="24"/>
                <w:lang w:val="en-GB" w:eastAsia="zh-CN"/>
              </w:rPr>
            </w:pPr>
            <w:r>
              <w:rPr>
                <w:rFonts w:ascii="Times New Roman" w:hAnsi="Times New Roman" w:eastAsia="Times New Roman" w:cs="Times New Roman"/>
                <w:b/>
                <w:kern w:val="0"/>
                <w:sz w:val="20"/>
                <w:szCs w:val="24"/>
                <w:lang w:val="en-GB" w:eastAsia="zh-CN"/>
              </w:rPr>
              <w:t>Table: Averaged values based on proposals</w:t>
            </w:r>
          </w:p>
          <w:tbl>
            <w:tblPr>
              <w:tblStyle w:val="23"/>
              <w:tblW w:w="0" w:type="auto"/>
              <w:jc w:val="center"/>
              <w:tblLayout w:type="autofit"/>
              <w:tblCellMar>
                <w:top w:w="0" w:type="dxa"/>
                <w:left w:w="108" w:type="dxa"/>
                <w:bottom w:w="0" w:type="dxa"/>
                <w:right w:w="108" w:type="dxa"/>
              </w:tblCellMar>
            </w:tblPr>
            <w:tblGrid>
              <w:gridCol w:w="856"/>
              <w:gridCol w:w="1431"/>
              <w:gridCol w:w="1682"/>
              <w:gridCol w:w="1682"/>
              <w:gridCol w:w="2167"/>
            </w:tblGrid>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Operating Bands</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t1r6 (dB)</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t2r6 (dB)</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t1r6-t2r6 (dB)</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Average</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n79</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5.4</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4.7</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5.9</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n104</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5.7</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5.0</w:t>
                  </w:r>
                </w:p>
              </w:tc>
              <w:tc>
                <w:tcPr>
                  <w:tcW w:w="0" w:type="auto"/>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6.3</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jc w:val="both"/>
              <w:textAlignment w:val="auto"/>
              <w:outlineLvl w:val="9"/>
              <w:rPr>
                <w:rFonts w:hint="default" w:cs="Times New Roman"/>
                <w:sz w:val="20"/>
                <w:szCs w:val="20"/>
                <w:vertAlign w:val="baseline"/>
                <w:lang w:val="en-US" w:eastAsia="zh-CN"/>
              </w:rPr>
            </w:pP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7" w:name="OLE_LINK18"/>
      <w:r>
        <w:rPr>
          <w:rFonts w:hint="eastAsia" w:eastAsia="宋体" w:cs="Times New Roman"/>
          <w:sz w:val="20"/>
          <w:szCs w:val="20"/>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 xml:space="preserve">discussions on the </w:t>
      </w:r>
      <w:bookmarkStart w:id="8" w:name="OLE_LINK12"/>
      <w:r>
        <w:rPr>
          <w:rFonts w:hint="eastAsia" w:cs="Times New Roman"/>
          <w:sz w:val="20"/>
          <w:szCs w:val="20"/>
          <w:lang w:val="en-US" w:eastAsia="zh-CN"/>
        </w:rPr>
        <w:t>SRS antenna switching</w:t>
      </w:r>
      <w:bookmarkEnd w:id="8"/>
      <w:r>
        <w:rPr>
          <w:rFonts w:hint="eastAsia" w:eastAsia="宋体" w:cs="Times New Roman"/>
          <w:sz w:val="20"/>
          <w:szCs w:val="20"/>
          <w:lang w:val="en-US" w:eastAsia="zh-CN"/>
        </w:rPr>
        <w:t xml:space="preserve"> related to 6Rx.</w:t>
      </w:r>
      <w:bookmarkEnd w:id="7"/>
      <w:r>
        <w:rPr>
          <w:rFonts w:hint="eastAsia" w:eastAsia="宋体" w:cs="Times New Roman"/>
          <w:sz w:val="20"/>
          <w:szCs w:val="20"/>
          <w:lang w:val="en-US" w:eastAsia="zh-CN"/>
        </w:rPr>
        <w:t xml:space="preserve"> </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kinsoku/>
        <w:wordWrap/>
        <w:topLinePunct w:val="0"/>
        <w:bidi w:val="0"/>
        <w:snapToGrid/>
        <w:rPr>
          <w:rFonts w:hint="eastAsia" w:eastAsia="Times New Roman" w:cs="Times New Roman"/>
          <w:kern w:val="0"/>
          <w:sz w:val="20"/>
          <w:szCs w:val="20"/>
          <w:lang w:val="en-US" w:eastAsia="zh-CN"/>
        </w:rPr>
      </w:pPr>
      <w:bookmarkStart w:id="9" w:name="OLE_LINK38"/>
      <w:bookmarkStart w:id="10" w:name="OLE_LINK48"/>
      <w:bookmarkStart w:id="11" w:name="OLE_LINK66"/>
      <w:bookmarkStart w:id="12" w:name="OLE_LINK23"/>
      <w:r>
        <w:rPr>
          <w:rFonts w:hint="eastAsia" w:cs="Times New Roman"/>
          <w:b w:val="0"/>
          <w:bCs w:val="0"/>
          <w:kern w:val="0"/>
          <w:sz w:val="20"/>
          <w:szCs w:val="20"/>
          <w:highlight w:val="none"/>
          <w:lang w:val="en-US" w:eastAsia="zh-CN"/>
        </w:rPr>
        <w:t xml:space="preserve">It can be seen that the </w:t>
      </w:r>
      <w:r>
        <w:rPr>
          <w:rFonts w:hint="eastAsia" w:cs="Times New Roman"/>
          <w:sz w:val="20"/>
          <w:szCs w:val="20"/>
          <w:lang w:val="en-US" w:eastAsia="zh-CN"/>
        </w:rPr>
        <w:t>SRS antenna switching (</w:t>
      </w:r>
      <w:r>
        <w:rPr>
          <w:rFonts w:eastAsia="等线"/>
          <w:color w:val="000000"/>
          <w:sz w:val="20"/>
          <w:szCs w:val="20"/>
          <w:lang w:val="en-US" w:eastAsia="zh-CN"/>
        </w:rPr>
        <w:t>ΔT</w:t>
      </w:r>
      <w:r>
        <w:rPr>
          <w:rFonts w:eastAsia="等线"/>
          <w:color w:val="000000"/>
          <w:sz w:val="20"/>
          <w:szCs w:val="20"/>
          <w:vertAlign w:val="subscript"/>
          <w:lang w:val="en-US" w:eastAsia="zh-CN"/>
        </w:rPr>
        <w:t>RxSRS</w:t>
      </w:r>
      <w:r>
        <w:rPr>
          <w:rFonts w:hint="eastAsia" w:cs="Times New Roman"/>
          <w:sz w:val="20"/>
          <w:szCs w:val="20"/>
          <w:lang w:val="en-US" w:eastAsia="zh-CN"/>
        </w:rPr>
        <w:t>) requirements for band n41, n77 and n78 were approved in the WF. However, there are no consensus for band n79 and band 104 due to more discussions are needed on whether to</w:t>
      </w:r>
      <w:r>
        <w:rPr>
          <w:rFonts w:ascii="Times New Roman" w:hAnsi="Times New Roman" w:eastAsia="Times New Roman" w:cs="Times New Roman"/>
          <w:kern w:val="0"/>
          <w:sz w:val="20"/>
          <w:szCs w:val="20"/>
          <w:lang w:val="en-GB" w:eastAsia="zh-CN"/>
        </w:rPr>
        <w:t xml:space="preserve"> consider an additional breakpoint for bands whose FUL_high is higher than the FUL_low of n104</w:t>
      </w:r>
      <w:r>
        <w:rPr>
          <w:rFonts w:hint="eastAsia" w:eastAsia="Times New Roman" w:cs="Times New Roman"/>
          <w:kern w:val="0"/>
          <w:sz w:val="20"/>
          <w:szCs w:val="20"/>
          <w:lang w:val="en-US" w:eastAsia="zh-CN"/>
        </w:rPr>
        <w:t>.</w:t>
      </w:r>
    </w:p>
    <w:p>
      <w:pPr>
        <w:keepNext/>
        <w:keepLines/>
        <w:pageBreakBefore w:val="0"/>
        <w:widowControl/>
        <w:suppressLineNumbers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hint="default" w:eastAsia="Times New Roman" w:cs="Times New Roman"/>
          <w:kern w:val="0"/>
          <w:sz w:val="20"/>
          <w:szCs w:val="20"/>
          <w:lang w:val="en-US" w:eastAsia="zh-CN"/>
        </w:rPr>
      </w:pPr>
      <w:r>
        <w:rPr>
          <w:rFonts w:hint="eastAsia" w:cs="Times New Roman"/>
          <w:bCs/>
          <w:kern w:val="0"/>
          <w:sz w:val="20"/>
          <w:szCs w:val="20"/>
          <w:lang w:val="en-US" w:eastAsia="zh-CN"/>
        </w:rPr>
        <w:t xml:space="preserve">In current 38.101-1 specification, the </w:t>
      </w:r>
      <w:r>
        <w:rPr>
          <w:rFonts w:ascii="Times New Roman" w:hAnsi="Times New Roman" w:eastAsia="Times New Roman" w:cs="Times New Roman"/>
          <w:kern w:val="0"/>
          <w:sz w:val="20"/>
          <w:szCs w:val="20"/>
          <w:lang w:val="en-GB" w:eastAsia="zh-CN"/>
        </w:rPr>
        <w:t>breakpoint for bands</w:t>
      </w:r>
      <w:r>
        <w:rPr>
          <w:rFonts w:hint="eastAsia" w:eastAsia="Times New Roman" w:cs="Times New Roman"/>
          <w:kern w:val="0"/>
          <w:sz w:val="20"/>
          <w:szCs w:val="20"/>
          <w:lang w:val="en-US" w:eastAsia="zh-CN"/>
        </w:rPr>
        <w:t xml:space="preserve"> for the </w:t>
      </w:r>
      <w:r>
        <w:rPr>
          <w:rFonts w:eastAsia="等线"/>
          <w:color w:val="000000"/>
          <w:sz w:val="20"/>
          <w:szCs w:val="20"/>
          <w:lang w:val="en-US" w:eastAsia="zh-CN"/>
        </w:rPr>
        <w:t>ΔT</w:t>
      </w:r>
      <w:r>
        <w:rPr>
          <w:rFonts w:eastAsia="等线"/>
          <w:color w:val="000000"/>
          <w:sz w:val="20"/>
          <w:szCs w:val="20"/>
          <w:vertAlign w:val="subscript"/>
          <w:lang w:val="en-US" w:eastAsia="zh-CN"/>
        </w:rPr>
        <w:t>RxSRS</w:t>
      </w:r>
      <w:r>
        <w:rPr>
          <w:rFonts w:hint="eastAsia" w:cs="Times New Roman"/>
          <w:sz w:val="20"/>
          <w:szCs w:val="20"/>
          <w:lang w:val="en-US" w:eastAsia="zh-CN"/>
        </w:rPr>
        <w:t xml:space="preserve"> requirements requirements is only for band n79, even when the band n104 was introduced, there </w:t>
      </w:r>
      <w:r>
        <w:rPr>
          <w:rFonts w:hint="eastAsia" w:eastAsia="Times New Roman" w:cs="Times New Roman"/>
          <w:kern w:val="0"/>
          <w:sz w:val="20"/>
          <w:szCs w:val="20"/>
          <w:lang w:val="en-US" w:eastAsia="zh-CN"/>
        </w:rPr>
        <w:t xml:space="preserve">are no such </w:t>
      </w:r>
      <w:r>
        <w:rPr>
          <w:rFonts w:ascii="Times New Roman" w:hAnsi="Times New Roman" w:eastAsia="Times New Roman" w:cs="Times New Roman"/>
          <w:kern w:val="0"/>
          <w:sz w:val="20"/>
          <w:szCs w:val="20"/>
          <w:lang w:val="en-GB" w:eastAsia="zh-CN"/>
        </w:rPr>
        <w:t>additional breakpoint</w:t>
      </w:r>
      <w:r>
        <w:rPr>
          <w:rFonts w:hint="eastAsia" w:eastAsia="Times New Roman" w:cs="Times New Roman"/>
          <w:kern w:val="0"/>
          <w:sz w:val="20"/>
          <w:szCs w:val="20"/>
          <w:lang w:val="en-US" w:eastAsia="zh-CN"/>
        </w:rPr>
        <w:t xml:space="preserve"> introduced for band n104 supporting 4Rx. We try to recall the history but we found there are no discussions on the </w:t>
      </w:r>
      <w:r>
        <w:rPr>
          <w:rFonts w:hint="default" w:ascii="Times New Roman" w:hAnsi="Times New Roman" w:cs="Times New Roman"/>
          <w:b w:val="0"/>
          <w:bCs w:val="0"/>
          <w:i w:val="0"/>
          <w:iCs w:val="0"/>
          <w:color w:val="auto"/>
          <w:sz w:val="20"/>
          <w:szCs w:val="20"/>
          <w:lang w:val="en-GB" w:eastAsia="zh-CN"/>
        </w:rPr>
        <w:t>∆</w:t>
      </w:r>
      <w:r>
        <w:rPr>
          <w:rFonts w:hint="eastAsia"/>
          <w:b w:val="0"/>
          <w:bCs w:val="0"/>
          <w:i w:val="0"/>
          <w:iCs w:val="0"/>
          <w:color w:val="auto"/>
          <w:sz w:val="20"/>
          <w:szCs w:val="20"/>
          <w:lang w:val="en-GB" w:eastAsia="zh-CN"/>
        </w:rPr>
        <w:t>T</w:t>
      </w:r>
      <w:r>
        <w:rPr>
          <w:rFonts w:hint="eastAsia"/>
          <w:b w:val="0"/>
          <w:bCs w:val="0"/>
          <w:i w:val="0"/>
          <w:iCs w:val="0"/>
          <w:color w:val="auto"/>
          <w:sz w:val="20"/>
          <w:szCs w:val="20"/>
          <w:vertAlign w:val="subscript"/>
          <w:lang w:val="en-GB" w:eastAsia="zh-CN"/>
        </w:rPr>
        <w:t>RxSRS</w:t>
      </w:r>
      <w:r>
        <w:rPr>
          <w:rFonts w:hint="eastAsia"/>
          <w:b w:val="0"/>
          <w:bCs w:val="0"/>
          <w:i w:val="0"/>
          <w:iCs w:val="0"/>
          <w:color w:val="auto"/>
          <w:sz w:val="20"/>
          <w:szCs w:val="20"/>
          <w:vertAlign w:val="subscript"/>
          <w:lang w:val="en-US" w:eastAsia="zh-CN"/>
        </w:rPr>
        <w:t xml:space="preserve"> </w:t>
      </w:r>
      <w:r>
        <w:rPr>
          <w:rFonts w:hint="eastAsia" w:eastAsia="Times New Roman" w:cs="Times New Roman"/>
          <w:kern w:val="0"/>
          <w:sz w:val="20"/>
          <w:szCs w:val="20"/>
          <w:lang w:val="en-US" w:eastAsia="zh-CN"/>
        </w:rPr>
        <w:t xml:space="preserve">requirement when n104 was introduced. Given the current situation, it could be interpreted that the current values (breakpoint for n79) could be reused. For 6Rx, if RAN4 decide to </w:t>
      </w:r>
      <w:r>
        <w:rPr>
          <w:rFonts w:ascii="Times New Roman" w:hAnsi="Times New Roman" w:eastAsia="Times New Roman" w:cs="Times New Roman"/>
          <w:kern w:val="0"/>
          <w:sz w:val="20"/>
          <w:szCs w:val="20"/>
          <w:lang w:val="en-GB" w:eastAsia="zh-CN"/>
        </w:rPr>
        <w:t>introduce an additional breakpoint for bands whose F</w:t>
      </w:r>
      <w:r>
        <w:rPr>
          <w:rFonts w:ascii="Times New Roman" w:hAnsi="Times New Roman" w:eastAsia="Times New Roman" w:cs="Times New Roman"/>
          <w:kern w:val="0"/>
          <w:sz w:val="20"/>
          <w:szCs w:val="20"/>
          <w:vertAlign w:val="subscript"/>
          <w:lang w:val="en-GB" w:eastAsia="zh-CN"/>
        </w:rPr>
        <w:t>UL_high</w:t>
      </w:r>
      <w:r>
        <w:rPr>
          <w:rFonts w:ascii="Times New Roman" w:hAnsi="Times New Roman" w:eastAsia="Times New Roman" w:cs="Times New Roman"/>
          <w:kern w:val="0"/>
          <w:sz w:val="20"/>
          <w:szCs w:val="20"/>
          <w:lang w:val="en-GB" w:eastAsia="zh-CN"/>
        </w:rPr>
        <w:t xml:space="preserve"> is higher than the F</w:t>
      </w:r>
      <w:r>
        <w:rPr>
          <w:rFonts w:ascii="Times New Roman" w:hAnsi="Times New Roman" w:eastAsia="Times New Roman" w:cs="Times New Roman"/>
          <w:kern w:val="0"/>
          <w:sz w:val="20"/>
          <w:szCs w:val="20"/>
          <w:vertAlign w:val="subscript"/>
          <w:lang w:val="en-GB" w:eastAsia="zh-CN"/>
        </w:rPr>
        <w:t>UL_low</w:t>
      </w:r>
      <w:r>
        <w:rPr>
          <w:rFonts w:ascii="Times New Roman" w:hAnsi="Times New Roman" w:eastAsia="Times New Roman" w:cs="Times New Roman"/>
          <w:kern w:val="0"/>
          <w:sz w:val="20"/>
          <w:szCs w:val="20"/>
          <w:lang w:val="en-GB" w:eastAsia="zh-CN"/>
        </w:rPr>
        <w:t xml:space="preserve"> of n104</w:t>
      </w:r>
      <w:r>
        <w:rPr>
          <w:rFonts w:hint="eastAsia" w:eastAsia="Times New Roman" w:cs="Times New Roman"/>
          <w:kern w:val="0"/>
          <w:sz w:val="20"/>
          <w:szCs w:val="20"/>
          <w:lang w:val="en-US" w:eastAsia="zh-CN"/>
        </w:rPr>
        <w:t xml:space="preserve">, then it may be also needed to revisit the 4Rx </w:t>
      </w:r>
      <w:r>
        <w:rPr>
          <w:rFonts w:hint="default" w:ascii="Times New Roman" w:hAnsi="Times New Roman" w:cs="Times New Roman"/>
          <w:b w:val="0"/>
          <w:bCs w:val="0"/>
          <w:i w:val="0"/>
          <w:iCs w:val="0"/>
          <w:color w:val="auto"/>
          <w:sz w:val="20"/>
          <w:szCs w:val="20"/>
          <w:lang w:val="en-GB" w:eastAsia="zh-CN"/>
        </w:rPr>
        <w:t>∆</w:t>
      </w:r>
      <w:r>
        <w:rPr>
          <w:rFonts w:hint="eastAsia"/>
          <w:b w:val="0"/>
          <w:bCs w:val="0"/>
          <w:i w:val="0"/>
          <w:iCs w:val="0"/>
          <w:color w:val="auto"/>
          <w:sz w:val="20"/>
          <w:szCs w:val="20"/>
          <w:lang w:val="en-GB" w:eastAsia="zh-CN"/>
        </w:rPr>
        <w:t>T</w:t>
      </w:r>
      <w:r>
        <w:rPr>
          <w:rFonts w:hint="eastAsia"/>
          <w:b w:val="0"/>
          <w:bCs w:val="0"/>
          <w:i w:val="0"/>
          <w:iCs w:val="0"/>
          <w:color w:val="auto"/>
          <w:sz w:val="20"/>
          <w:szCs w:val="20"/>
          <w:vertAlign w:val="subscript"/>
          <w:lang w:val="en-GB" w:eastAsia="zh-CN"/>
        </w:rPr>
        <w:t>RxSRS</w:t>
      </w:r>
      <w:r>
        <w:rPr>
          <w:rFonts w:hint="eastAsia"/>
          <w:b w:val="0"/>
          <w:bCs w:val="0"/>
          <w:i w:val="0"/>
          <w:iCs w:val="0"/>
          <w:color w:val="auto"/>
          <w:sz w:val="20"/>
          <w:szCs w:val="20"/>
          <w:vertAlign w:val="subscript"/>
          <w:lang w:val="en-US" w:eastAsia="zh-CN"/>
        </w:rPr>
        <w:t xml:space="preserve"> </w:t>
      </w:r>
      <w:r>
        <w:rPr>
          <w:rFonts w:hint="eastAsia" w:eastAsia="Times New Roman" w:cs="Times New Roman"/>
          <w:kern w:val="0"/>
          <w:sz w:val="20"/>
          <w:szCs w:val="20"/>
          <w:lang w:val="en-US" w:eastAsia="zh-CN"/>
        </w:rPr>
        <w:t>requirement for n104 since we think the situation for 4Rx and 6Rx are the same considering the similar reasons which are ultra-high frequency for band n104 where higher total loss would be foreseen.</w:t>
      </w:r>
    </w:p>
    <w:p>
      <w:pPr>
        <w:keepNext/>
        <w:keepLines/>
        <w:pageBreakBefore w:val="0"/>
        <w:widowControl/>
        <w:suppressLineNumbers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hint="default" w:eastAsia="宋体" w:cs="Times New Roman"/>
          <w:b/>
          <w:bCs/>
          <w:color w:val="auto"/>
          <w:kern w:val="2"/>
          <w:sz w:val="20"/>
          <w:szCs w:val="20"/>
          <w:lang w:val="en-US" w:eastAsia="zh-CN"/>
        </w:rPr>
      </w:pPr>
      <w:r>
        <w:rPr>
          <w:rFonts w:hint="eastAsia" w:eastAsia="宋体" w:cs="Times New Roman"/>
          <w:b/>
          <w:bCs/>
          <w:color w:val="auto"/>
          <w:kern w:val="2"/>
          <w:sz w:val="20"/>
          <w:szCs w:val="20"/>
          <w:lang w:val="en-US" w:eastAsia="zh-CN"/>
        </w:rPr>
        <w:t>Ob</w:t>
      </w:r>
      <w:r>
        <w:rPr>
          <w:rFonts w:hint="eastAsia" w:cs="Times New Roman"/>
          <w:b/>
          <w:bCs/>
          <w:color w:val="auto"/>
          <w:kern w:val="2"/>
          <w:sz w:val="20"/>
          <w:szCs w:val="20"/>
          <w:lang w:val="en-US" w:eastAsia="zh-CN"/>
        </w:rPr>
        <w:t>s</w:t>
      </w:r>
      <w:r>
        <w:rPr>
          <w:rFonts w:hint="eastAsia" w:eastAsia="宋体" w:cs="Times New Roman"/>
          <w:b/>
          <w:bCs/>
          <w:color w:val="auto"/>
          <w:kern w:val="2"/>
          <w:sz w:val="20"/>
          <w:szCs w:val="20"/>
          <w:lang w:val="en-US" w:eastAsia="zh-CN"/>
        </w:rPr>
        <w:t>er</w:t>
      </w:r>
      <w:r>
        <w:rPr>
          <w:rFonts w:hint="eastAsia" w:cs="Times New Roman"/>
          <w:b/>
          <w:bCs/>
          <w:color w:val="auto"/>
          <w:kern w:val="2"/>
          <w:sz w:val="20"/>
          <w:szCs w:val="20"/>
          <w:lang w:val="en-US" w:eastAsia="zh-CN"/>
        </w:rPr>
        <w:t>v</w:t>
      </w:r>
      <w:r>
        <w:rPr>
          <w:rFonts w:hint="eastAsia" w:eastAsia="宋体" w:cs="Times New Roman"/>
          <w:b/>
          <w:bCs/>
          <w:color w:val="auto"/>
          <w:kern w:val="2"/>
          <w:sz w:val="20"/>
          <w:szCs w:val="20"/>
          <w:lang w:val="en-US" w:eastAsia="zh-CN"/>
        </w:rPr>
        <w:t xml:space="preserve">ation 1: There is no </w:t>
      </w:r>
      <w:r>
        <w:rPr>
          <w:rFonts w:hint="eastAsia" w:ascii="Times New Roman" w:hAnsi="Times New Roman" w:eastAsia="宋体" w:cs="Times New Roman"/>
          <w:b/>
          <w:bCs/>
          <w:color w:val="auto"/>
          <w:kern w:val="2"/>
          <w:sz w:val="20"/>
          <w:szCs w:val="20"/>
          <w:lang w:val="en-US" w:eastAsia="zh-CN"/>
        </w:rPr>
        <w:t>additional breakpoint</w:t>
      </w:r>
      <w:r>
        <w:rPr>
          <w:rFonts w:hint="eastAsia" w:eastAsia="宋体" w:cs="Times New Roman"/>
          <w:b/>
          <w:bCs/>
          <w:color w:val="auto"/>
          <w:kern w:val="2"/>
          <w:sz w:val="20"/>
          <w:szCs w:val="20"/>
          <w:lang w:val="en-US" w:eastAsia="zh-CN"/>
        </w:rPr>
        <w:t xml:space="preserve"> introduced for band n104 supporting 4Rx</w:t>
      </w:r>
      <w:r>
        <w:rPr>
          <w:rFonts w:hint="eastAsia" w:cs="Times New Roman"/>
          <w:b/>
          <w:bCs/>
          <w:color w:val="auto"/>
          <w:kern w:val="2"/>
          <w:sz w:val="20"/>
          <w:szCs w:val="20"/>
          <w:lang w:val="en-US" w:eastAsia="zh-CN"/>
        </w:rPr>
        <w:t>.</w:t>
      </w:r>
    </w:p>
    <w:p>
      <w:pPr>
        <w:keepNext/>
        <w:keepLines/>
        <w:pageBreakBefore w:val="0"/>
        <w:widowControl/>
        <w:suppressLineNumbers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hint="eastAsia" w:cs="Times New Roman"/>
          <w:b w:val="0"/>
          <w:bCs w:val="0"/>
          <w:i w:val="0"/>
          <w:iCs w:val="0"/>
          <w:color w:val="000000"/>
          <w:kern w:val="0"/>
          <w:sz w:val="20"/>
          <w:szCs w:val="20"/>
          <w:u w:val="none"/>
          <w:vertAlign w:val="baseline"/>
          <w:lang w:val="en-US" w:eastAsia="zh-CN" w:bidi="ar"/>
        </w:rPr>
      </w:pPr>
      <w:r>
        <w:rPr>
          <w:rFonts w:hint="eastAsia" w:eastAsia="宋体" w:cs="Times New Roman"/>
          <w:b/>
          <w:bCs/>
          <w:color w:val="auto"/>
          <w:kern w:val="2"/>
          <w:sz w:val="20"/>
          <w:szCs w:val="20"/>
          <w:lang w:val="en-US" w:eastAsia="zh-CN"/>
        </w:rPr>
        <w:t>Ob</w:t>
      </w:r>
      <w:r>
        <w:rPr>
          <w:rFonts w:hint="eastAsia" w:cs="Times New Roman"/>
          <w:b/>
          <w:bCs/>
          <w:color w:val="auto"/>
          <w:kern w:val="2"/>
          <w:sz w:val="20"/>
          <w:szCs w:val="20"/>
          <w:lang w:val="en-US" w:eastAsia="zh-CN"/>
        </w:rPr>
        <w:t>s</w:t>
      </w:r>
      <w:r>
        <w:rPr>
          <w:rFonts w:hint="eastAsia" w:eastAsia="宋体" w:cs="Times New Roman"/>
          <w:b/>
          <w:bCs/>
          <w:color w:val="auto"/>
          <w:kern w:val="2"/>
          <w:sz w:val="20"/>
          <w:szCs w:val="20"/>
          <w:lang w:val="en-US" w:eastAsia="zh-CN"/>
        </w:rPr>
        <w:t>er</w:t>
      </w:r>
      <w:r>
        <w:rPr>
          <w:rFonts w:hint="eastAsia" w:cs="Times New Roman"/>
          <w:b/>
          <w:bCs/>
          <w:color w:val="auto"/>
          <w:kern w:val="2"/>
          <w:sz w:val="20"/>
          <w:szCs w:val="20"/>
          <w:lang w:val="en-US" w:eastAsia="zh-CN"/>
        </w:rPr>
        <w:t>v</w:t>
      </w:r>
      <w:r>
        <w:rPr>
          <w:rFonts w:hint="eastAsia" w:eastAsia="宋体" w:cs="Times New Roman"/>
          <w:b/>
          <w:bCs/>
          <w:color w:val="auto"/>
          <w:kern w:val="2"/>
          <w:sz w:val="20"/>
          <w:szCs w:val="20"/>
          <w:lang w:val="en-US" w:eastAsia="zh-CN"/>
        </w:rPr>
        <w:t xml:space="preserve">ation </w:t>
      </w:r>
      <w:r>
        <w:rPr>
          <w:rFonts w:hint="eastAsia" w:cs="Times New Roman"/>
          <w:b/>
          <w:bCs/>
          <w:color w:val="auto"/>
          <w:kern w:val="2"/>
          <w:sz w:val="20"/>
          <w:szCs w:val="20"/>
          <w:lang w:val="en-US" w:eastAsia="zh-CN"/>
        </w:rPr>
        <w:t>2</w:t>
      </w:r>
      <w:r>
        <w:rPr>
          <w:rFonts w:hint="eastAsia" w:eastAsia="宋体" w:cs="Times New Roman"/>
          <w:b/>
          <w:bCs/>
          <w:color w:val="auto"/>
          <w:kern w:val="2"/>
          <w:sz w:val="20"/>
          <w:szCs w:val="20"/>
          <w:lang w:val="en-US" w:eastAsia="zh-CN"/>
        </w:rPr>
        <w:t xml:space="preserve">: </w:t>
      </w:r>
      <w:r>
        <w:rPr>
          <w:rFonts w:hint="eastAsia"/>
          <w:b/>
          <w:bCs/>
          <w:i w:val="0"/>
          <w:iCs w:val="0"/>
          <w:color w:val="auto"/>
          <w:sz w:val="20"/>
          <w:szCs w:val="20"/>
          <w:lang w:val="en-US" w:eastAsia="zh-CN"/>
        </w:rPr>
        <w:t>If</w:t>
      </w:r>
      <w:r>
        <w:rPr>
          <w:rFonts w:hint="eastAsia" w:eastAsia="Times New Roman" w:cs="Times New Roman"/>
          <w:b/>
          <w:bCs/>
          <w:kern w:val="0"/>
          <w:sz w:val="20"/>
          <w:szCs w:val="20"/>
          <w:lang w:val="en-US" w:eastAsia="zh-CN"/>
        </w:rPr>
        <w:t xml:space="preserve"> </w:t>
      </w:r>
      <w:r>
        <w:rPr>
          <w:rFonts w:ascii="Times New Roman" w:hAnsi="Times New Roman" w:eastAsia="Times New Roman" w:cs="Times New Roman"/>
          <w:b/>
          <w:bCs/>
          <w:kern w:val="0"/>
          <w:sz w:val="20"/>
          <w:szCs w:val="20"/>
          <w:lang w:val="en-GB" w:eastAsia="zh-CN"/>
        </w:rPr>
        <w:t>introduce an additional breakpoint for bands whose F</w:t>
      </w:r>
      <w:r>
        <w:rPr>
          <w:rFonts w:ascii="Times New Roman" w:hAnsi="Times New Roman" w:eastAsia="Times New Roman" w:cs="Times New Roman"/>
          <w:b/>
          <w:bCs/>
          <w:kern w:val="0"/>
          <w:sz w:val="20"/>
          <w:szCs w:val="20"/>
          <w:vertAlign w:val="subscript"/>
          <w:lang w:val="en-GB" w:eastAsia="zh-CN"/>
        </w:rPr>
        <w:t>UL_high</w:t>
      </w:r>
      <w:r>
        <w:rPr>
          <w:rFonts w:ascii="Times New Roman" w:hAnsi="Times New Roman" w:eastAsia="Times New Roman" w:cs="Times New Roman"/>
          <w:b/>
          <w:bCs/>
          <w:kern w:val="0"/>
          <w:sz w:val="20"/>
          <w:szCs w:val="20"/>
          <w:lang w:val="en-GB" w:eastAsia="zh-CN"/>
        </w:rPr>
        <w:t xml:space="preserve"> is higher than the F</w:t>
      </w:r>
      <w:r>
        <w:rPr>
          <w:rFonts w:ascii="Times New Roman" w:hAnsi="Times New Roman" w:eastAsia="Times New Roman" w:cs="Times New Roman"/>
          <w:b/>
          <w:bCs/>
          <w:kern w:val="0"/>
          <w:sz w:val="20"/>
          <w:szCs w:val="20"/>
          <w:vertAlign w:val="subscript"/>
          <w:lang w:val="en-GB" w:eastAsia="zh-CN"/>
        </w:rPr>
        <w:t>UL_low</w:t>
      </w:r>
      <w:r>
        <w:rPr>
          <w:rFonts w:ascii="Times New Roman" w:hAnsi="Times New Roman" w:eastAsia="Times New Roman" w:cs="Times New Roman"/>
          <w:b/>
          <w:bCs/>
          <w:kern w:val="0"/>
          <w:sz w:val="20"/>
          <w:szCs w:val="20"/>
          <w:lang w:val="en-GB" w:eastAsia="zh-CN"/>
        </w:rPr>
        <w:t xml:space="preserve"> of n104</w:t>
      </w:r>
      <w:r>
        <w:rPr>
          <w:rFonts w:hint="eastAsia" w:eastAsia="Times New Roman" w:cs="Times New Roman"/>
          <w:b/>
          <w:bCs/>
          <w:kern w:val="0"/>
          <w:sz w:val="20"/>
          <w:szCs w:val="20"/>
          <w:lang w:val="en-US" w:eastAsia="zh-CN"/>
        </w:rPr>
        <w:t xml:space="preserve"> for 6Rx, then it may be also needed to revisit the </w:t>
      </w:r>
      <w:r>
        <w:rPr>
          <w:rFonts w:hint="default" w:ascii="Times New Roman" w:hAnsi="Times New Roman" w:cs="Times New Roman"/>
          <w:b/>
          <w:bCs/>
          <w:i w:val="0"/>
          <w:iCs w:val="0"/>
          <w:color w:val="auto"/>
          <w:sz w:val="20"/>
          <w:szCs w:val="20"/>
          <w:lang w:val="en-GB" w:eastAsia="zh-CN"/>
        </w:rPr>
        <w:t>∆</w:t>
      </w:r>
      <w:r>
        <w:rPr>
          <w:rFonts w:hint="eastAsia"/>
          <w:b/>
          <w:bCs/>
          <w:i w:val="0"/>
          <w:iCs w:val="0"/>
          <w:color w:val="auto"/>
          <w:sz w:val="20"/>
          <w:szCs w:val="20"/>
          <w:lang w:val="en-GB" w:eastAsia="zh-CN"/>
        </w:rPr>
        <w:t>T</w:t>
      </w:r>
      <w:r>
        <w:rPr>
          <w:rFonts w:hint="eastAsia"/>
          <w:b/>
          <w:bCs/>
          <w:i w:val="0"/>
          <w:iCs w:val="0"/>
          <w:color w:val="auto"/>
          <w:sz w:val="20"/>
          <w:szCs w:val="20"/>
          <w:vertAlign w:val="subscript"/>
          <w:lang w:val="en-GB" w:eastAsia="zh-CN"/>
        </w:rPr>
        <w:t>RxSRS</w:t>
      </w:r>
      <w:r>
        <w:rPr>
          <w:rFonts w:hint="eastAsia"/>
          <w:b/>
          <w:bCs/>
          <w:i w:val="0"/>
          <w:iCs w:val="0"/>
          <w:color w:val="auto"/>
          <w:sz w:val="20"/>
          <w:szCs w:val="20"/>
          <w:vertAlign w:val="subscript"/>
          <w:lang w:val="en-US" w:eastAsia="zh-CN"/>
        </w:rPr>
        <w:t xml:space="preserve"> </w:t>
      </w:r>
      <w:r>
        <w:rPr>
          <w:rFonts w:hint="eastAsia" w:eastAsia="Times New Roman" w:cs="Times New Roman"/>
          <w:b/>
          <w:bCs/>
          <w:kern w:val="0"/>
          <w:sz w:val="20"/>
          <w:szCs w:val="20"/>
          <w:lang w:val="en-US" w:eastAsia="zh-CN"/>
        </w:rPr>
        <w:t>requirement for n104 4Rx.</w:t>
      </w:r>
    </w:p>
    <w:p>
      <w:pPr>
        <w:keepNext/>
        <w:keepLines/>
        <w:pageBreakBefore w:val="0"/>
        <w:widowControl w:val="0"/>
        <w:suppressLineNumbers w:val="0"/>
        <w:kinsoku/>
        <w:wordWrap/>
        <w:topLinePunct w:val="0"/>
        <w:bidi w:val="0"/>
        <w:snapToGrid/>
        <w:jc w:val="left"/>
        <w:rPr>
          <w:rFonts w:hint="eastAsia" w:cs="Times New Roman"/>
          <w:b w:val="0"/>
          <w:bCs w:val="0"/>
          <w:i w:val="0"/>
          <w:iCs w:val="0"/>
          <w:color w:val="000000"/>
          <w:kern w:val="0"/>
          <w:sz w:val="20"/>
          <w:szCs w:val="20"/>
          <w:u w:val="none"/>
          <w:vertAlign w:val="baseline"/>
          <w:lang w:val="en-US" w:eastAsia="zh-CN" w:bidi="ar"/>
        </w:rPr>
      </w:pPr>
      <w:r>
        <w:rPr>
          <w:rFonts w:hint="eastAsia" w:eastAsia="Times New Roman" w:cs="Times New Roman"/>
          <w:kern w:val="0"/>
          <w:sz w:val="20"/>
          <w:szCs w:val="20"/>
          <w:lang w:val="en-US" w:eastAsia="zh-CN"/>
        </w:rPr>
        <w:t xml:space="preserve">For the values, </w:t>
      </w:r>
      <w:r>
        <w:rPr>
          <w:rFonts w:hint="eastAsia" w:cs="Times New Roman"/>
          <w:b w:val="0"/>
          <w:bCs w:val="0"/>
          <w:i w:val="0"/>
          <w:iCs w:val="0"/>
          <w:color w:val="000000"/>
          <w:kern w:val="0"/>
          <w:sz w:val="20"/>
          <w:szCs w:val="20"/>
          <w:u w:val="none"/>
          <w:vertAlign w:val="baseline"/>
          <w:lang w:val="en-US" w:eastAsia="zh-CN" w:bidi="ar"/>
        </w:rPr>
        <w:t xml:space="preserve">companies proposed different </w:t>
      </w:r>
      <w:r>
        <w:rPr>
          <w:rFonts w:eastAsia="等线"/>
          <w:color w:val="000000"/>
          <w:sz w:val="20"/>
          <w:szCs w:val="20"/>
          <w:lang w:val="en-US" w:eastAsia="zh-CN"/>
        </w:rPr>
        <w:t>ΔT</w:t>
      </w:r>
      <w:r>
        <w:rPr>
          <w:rFonts w:eastAsia="等线"/>
          <w:color w:val="000000"/>
          <w:sz w:val="20"/>
          <w:szCs w:val="20"/>
          <w:vertAlign w:val="subscript"/>
          <w:lang w:val="en-US" w:eastAsia="zh-CN"/>
        </w:rPr>
        <w:t>RxSRS</w:t>
      </w:r>
      <w:r>
        <w:rPr>
          <w:rFonts w:eastAsia="等线"/>
          <w:color w:val="000000"/>
          <w:sz w:val="20"/>
          <w:szCs w:val="20"/>
          <w:lang w:val="en-US" w:eastAsia="zh-CN"/>
        </w:rPr>
        <w:t xml:space="preserve"> </w:t>
      </w:r>
      <w:r>
        <w:rPr>
          <w:rFonts w:hint="eastAsia" w:cs="Times New Roman"/>
          <w:b w:val="0"/>
          <w:bCs w:val="0"/>
          <w:i w:val="0"/>
          <w:iCs w:val="0"/>
          <w:color w:val="000000"/>
          <w:kern w:val="0"/>
          <w:sz w:val="20"/>
          <w:szCs w:val="20"/>
          <w:u w:val="none"/>
          <w:vertAlign w:val="baseline"/>
          <w:lang w:val="en-US" w:eastAsia="zh-CN" w:bidi="ar"/>
        </w:rPr>
        <w:t xml:space="preserve">requirements with differernt RFFE architecture and different implementations margin assumption. It is true that different RFFE architectures would cause different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cs="Times New Roman"/>
          <w:b w:val="0"/>
          <w:bCs w:val="0"/>
          <w:i w:val="0"/>
          <w:iCs w:val="0"/>
          <w:color w:val="000000"/>
          <w:kern w:val="0"/>
          <w:sz w:val="20"/>
          <w:szCs w:val="20"/>
          <w:u w:val="none"/>
          <w:vertAlign w:val="baseline"/>
          <w:lang w:val="en-US" w:eastAsia="zh-CN" w:bidi="ar"/>
        </w:rPr>
        <w:t xml:space="preserve">values since the IL depends on which types of and how many switchers (such as SPDT, DPDT, SP4T, and etc). However, there are no discussions and agreements on the reference architectures and assumption, instead RAN4 discussed the value directly. Also the different implementations margin assumption will also impact the eventual results. Therefore, we think it is hard to say who is right or who is wrong although we think some values may not be reasonable. </w:t>
      </w:r>
    </w:p>
    <w:p>
      <w:pPr>
        <w:keepNext/>
        <w:keepLines/>
        <w:pageBreakBefore w:val="0"/>
        <w:widowControl w:val="0"/>
        <w:suppressLineNumbers w:val="0"/>
        <w:kinsoku/>
        <w:wordWrap/>
        <w:topLinePunct w:val="0"/>
        <w:bidi w:val="0"/>
        <w:snapToGrid/>
        <w:jc w:val="left"/>
        <w:rPr>
          <w:rFonts w:hint="eastAsia" w:eastAsia="Times New Roman" w:cs="Times New Roman"/>
          <w:kern w:val="0"/>
          <w:sz w:val="20"/>
          <w:szCs w:val="20"/>
          <w:lang w:val="en-US" w:eastAsia="zh-CN"/>
        </w:rPr>
      </w:pPr>
      <w:r>
        <w:rPr>
          <w:rFonts w:hint="eastAsia" w:eastAsia="Times New Roman" w:cs="Times New Roman"/>
          <w:kern w:val="0"/>
          <w:sz w:val="20"/>
          <w:szCs w:val="20"/>
          <w:lang w:val="en-US" w:eastAsia="zh-CN"/>
        </w:rPr>
        <w:t xml:space="preserve">By looking at the option 11, the delta values for n79 and n104 are quite close, i.e. only 0.3~0.4dB gap. We think such small gap could be negligible and the values in either option 10 and option 11 are already high which can be reused for band n104 to absorb the higher IL caused by higher frequency. </w:t>
      </w:r>
      <w:r>
        <w:rPr>
          <w:rFonts w:hint="eastAsia" w:cs="Times New Roman"/>
          <w:b w:val="0"/>
          <w:bCs w:val="0"/>
          <w:i w:val="0"/>
          <w:iCs w:val="0"/>
          <w:color w:val="000000"/>
          <w:kern w:val="0"/>
          <w:sz w:val="20"/>
          <w:szCs w:val="20"/>
          <w:u w:val="none"/>
          <w:vertAlign w:val="baseline"/>
          <w:lang w:val="en-US" w:eastAsia="zh-CN" w:bidi="ar"/>
        </w:rPr>
        <w:t xml:space="preserve">We prefer not to introduce an additional breakpoint </w:t>
      </w:r>
      <w:r>
        <w:rPr>
          <w:rFonts w:ascii="Times New Roman" w:hAnsi="Times New Roman" w:eastAsia="Times New Roman" w:cs="Times New Roman"/>
          <w:kern w:val="0"/>
          <w:sz w:val="20"/>
          <w:szCs w:val="20"/>
          <w:lang w:val="en-GB" w:eastAsia="zh-CN"/>
        </w:rPr>
        <w:t>for bands whose FUL_high is higher than the FUL_low of n104</w:t>
      </w:r>
      <w:r>
        <w:rPr>
          <w:rFonts w:hint="eastAsia" w:eastAsia="Times New Roman" w:cs="Times New Roman"/>
          <w:kern w:val="0"/>
          <w:sz w:val="20"/>
          <w:szCs w:val="20"/>
          <w:lang w:val="en-US" w:eastAsia="zh-CN"/>
        </w:rPr>
        <w:t>. In an other words, to use the same</w:t>
      </w:r>
      <w:r>
        <w:rPr>
          <w:rFonts w:hint="eastAsia" w:eastAsia="Times New Roman" w:cs="Times New Roman"/>
          <w:b w:val="0"/>
          <w:bCs w:val="0"/>
          <w:kern w:val="0"/>
          <w:sz w:val="20"/>
          <w:szCs w:val="20"/>
          <w:lang w:val="en-US" w:eastAsia="zh-CN"/>
        </w:rPr>
        <w:t xml:space="preserve"> </w:t>
      </w:r>
      <w:r>
        <w:rPr>
          <w:rFonts w:hint="default" w:ascii="Times New Roman" w:hAnsi="Times New Roman" w:cs="Times New Roman"/>
          <w:b w:val="0"/>
          <w:bCs w:val="0"/>
          <w:i w:val="0"/>
          <w:iCs w:val="0"/>
          <w:color w:val="auto"/>
          <w:sz w:val="20"/>
          <w:szCs w:val="20"/>
          <w:lang w:val="en-GB" w:eastAsia="zh-CN"/>
        </w:rPr>
        <w:t>∆</w:t>
      </w:r>
      <w:r>
        <w:rPr>
          <w:rFonts w:hint="eastAsia"/>
          <w:b w:val="0"/>
          <w:bCs w:val="0"/>
          <w:i w:val="0"/>
          <w:iCs w:val="0"/>
          <w:color w:val="auto"/>
          <w:sz w:val="20"/>
          <w:szCs w:val="20"/>
          <w:lang w:val="en-GB" w:eastAsia="zh-CN"/>
        </w:rPr>
        <w:t>T</w:t>
      </w:r>
      <w:r>
        <w:rPr>
          <w:rFonts w:hint="eastAsia"/>
          <w:b w:val="0"/>
          <w:bCs w:val="0"/>
          <w:i w:val="0"/>
          <w:iCs w:val="0"/>
          <w:color w:val="auto"/>
          <w:sz w:val="20"/>
          <w:szCs w:val="20"/>
          <w:vertAlign w:val="subscript"/>
          <w:lang w:val="en-GB" w:eastAsia="zh-CN"/>
        </w:rPr>
        <w:t>RxSRS</w:t>
      </w:r>
      <w:r>
        <w:rPr>
          <w:rFonts w:hint="eastAsia"/>
          <w:b/>
          <w:bCs/>
          <w:i w:val="0"/>
          <w:iCs w:val="0"/>
          <w:color w:val="auto"/>
          <w:sz w:val="20"/>
          <w:szCs w:val="20"/>
          <w:lang w:val="en-US" w:eastAsia="zh-CN"/>
        </w:rPr>
        <w:t xml:space="preserve"> </w:t>
      </w:r>
      <w:r>
        <w:rPr>
          <w:rFonts w:hint="eastAsia" w:eastAsia="Times New Roman" w:cs="Times New Roman"/>
          <w:kern w:val="0"/>
          <w:sz w:val="20"/>
          <w:szCs w:val="20"/>
          <w:lang w:val="en-US" w:eastAsia="zh-CN"/>
        </w:rPr>
        <w:t>values for bands n79 and n104.</w:t>
      </w:r>
      <w:bookmarkEnd w:id="9"/>
      <w:bookmarkEnd w:id="10"/>
      <w:bookmarkStart w:id="13" w:name="OLE_LINK42"/>
      <w:bookmarkStart w:id="14" w:name="OLE_LINK30"/>
    </w:p>
    <w:p>
      <w:pPr>
        <w:keepNext/>
        <w:keepLines/>
        <w:pageBreakBefore w:val="0"/>
        <w:widowControl w:val="0"/>
        <w:suppressLineNumbers w:val="0"/>
        <w:kinsoku/>
        <w:wordWrap/>
        <w:topLinePunct w:val="0"/>
        <w:bidi w:val="0"/>
        <w:snapToGrid/>
        <w:jc w:val="left"/>
        <w:rPr>
          <w:rFonts w:hint="eastAsia" w:eastAsia="Times New Roman" w:cs="Times New Roman"/>
          <w:b/>
          <w:bCs/>
          <w:kern w:val="0"/>
          <w:sz w:val="20"/>
          <w:lang w:val="en-US" w:eastAsia="zh-CN"/>
        </w:rPr>
      </w:pPr>
      <w:r>
        <w:rPr>
          <w:rFonts w:hint="eastAsia"/>
          <w:b/>
          <w:bCs/>
          <w:i w:val="0"/>
          <w:iCs w:val="0"/>
          <w:color w:val="auto"/>
          <w:sz w:val="20"/>
          <w:szCs w:val="20"/>
          <w:lang w:val="en-US" w:eastAsia="zh-CN"/>
        </w:rPr>
        <w:t xml:space="preserve">Proposal 1. </w:t>
      </w:r>
      <w:r>
        <w:rPr>
          <w:rFonts w:ascii="Times New Roman" w:hAnsi="Times New Roman" w:eastAsia="Times New Roman" w:cs="Times New Roman"/>
          <w:b/>
          <w:bCs/>
          <w:kern w:val="0"/>
          <w:sz w:val="20"/>
          <w:lang w:val="en-GB" w:eastAsia="zh-CN"/>
        </w:rPr>
        <w:t>Do not consider an additional breakpoint for bands whose FUL_high is higher than the FUL_low of n104</w:t>
      </w:r>
      <w:r>
        <w:rPr>
          <w:rFonts w:hint="eastAsia" w:eastAsia="Times New Roman" w:cs="Times New Roman"/>
          <w:b/>
          <w:bCs/>
          <w:kern w:val="0"/>
          <w:sz w:val="20"/>
          <w:lang w:val="en-US" w:eastAsia="zh-CN"/>
        </w:rPr>
        <w:t>.</w:t>
      </w:r>
    </w:p>
    <w:p>
      <w:pPr>
        <w:keepNext/>
        <w:keepLines/>
        <w:pageBreakBefore w:val="0"/>
        <w:widowControl w:val="0"/>
        <w:kinsoku/>
        <w:wordWrap/>
        <w:topLinePunct w:val="0"/>
        <w:bidi w:val="0"/>
        <w:snapToGrid/>
        <w:rPr>
          <w:rFonts w:hint="eastAsia" w:eastAsia="Times New Roman" w:cs="Times New Roman"/>
          <w:kern w:val="0"/>
          <w:sz w:val="20"/>
          <w:lang w:val="en-US" w:eastAsia="zh-CN"/>
        </w:rPr>
      </w:pPr>
      <w:r>
        <w:rPr>
          <w:rFonts w:hint="eastAsia" w:eastAsia="Times New Roman" w:cs="Times New Roman"/>
          <w:kern w:val="0"/>
          <w:sz w:val="20"/>
          <w:lang w:val="en-US" w:eastAsia="zh-CN"/>
        </w:rPr>
        <w:t xml:space="preserve">For the values, we prefer to adopt the values in Option 10. But meanwhile, considering the gaps between n79 and n104 in Option 11 are small, alternatively the maximum values in Option 11 for a certain txry case can also be acceptable for us, which is.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1"/>
        <w:gridCol w:w="1682"/>
        <w:gridCol w:w="1682"/>
        <w:gridCol w:w="2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0" w:type="auto"/>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Operating Bands</w:t>
            </w:r>
          </w:p>
        </w:tc>
        <w:tc>
          <w:tcPr>
            <w:tcW w:w="0" w:type="auto"/>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t1r6 (dB)</w:t>
            </w:r>
          </w:p>
        </w:tc>
        <w:tc>
          <w:tcPr>
            <w:tcW w:w="0" w:type="auto"/>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t2r6 (dB)</w:t>
            </w:r>
          </w:p>
        </w:tc>
        <w:tc>
          <w:tcPr>
            <w:tcW w:w="0" w:type="auto"/>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ΔTRxSRS  t1r6-t2r6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0" w:type="auto"/>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 xml:space="preserve">Band </w:t>
            </w:r>
            <w:r>
              <w:rPr>
                <w:rFonts w:hint="eastAsia" w:eastAsia="等线" w:cs="Times New Roman"/>
                <w:color w:val="000000"/>
                <w:kern w:val="0"/>
                <w:sz w:val="18"/>
                <w:szCs w:val="22"/>
                <w:lang w:val="en-US" w:eastAsia="zh-CN"/>
              </w:rPr>
              <w:t xml:space="preserve">n79, </w:t>
            </w:r>
            <w:r>
              <w:rPr>
                <w:rFonts w:ascii="Times New Roman" w:hAnsi="Times New Roman" w:eastAsia="等线" w:cs="Times New Roman"/>
                <w:color w:val="000000"/>
                <w:kern w:val="0"/>
                <w:sz w:val="18"/>
                <w:szCs w:val="22"/>
                <w:lang w:val="en-US" w:eastAsia="zh-CN"/>
              </w:rPr>
              <w:t>n104</w:t>
            </w:r>
          </w:p>
        </w:tc>
        <w:tc>
          <w:tcPr>
            <w:tcW w:w="0" w:type="auto"/>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5.7</w:t>
            </w:r>
          </w:p>
        </w:tc>
        <w:tc>
          <w:tcPr>
            <w:tcW w:w="0" w:type="auto"/>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5.0</w:t>
            </w:r>
          </w:p>
        </w:tc>
        <w:tc>
          <w:tcPr>
            <w:tcW w:w="0" w:type="auto"/>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6.3</w:t>
            </w:r>
          </w:p>
        </w:tc>
      </w:tr>
    </w:tbl>
    <w:p>
      <w:pPr>
        <w:keepNext/>
        <w:keepLines/>
        <w:pageBreakBefore w:val="0"/>
        <w:widowControl w:val="0"/>
        <w:suppressLineNumbers w:val="0"/>
        <w:kinsoku/>
        <w:wordWrap/>
        <w:topLinePunct w:val="0"/>
        <w:bidi w:val="0"/>
        <w:snapToGrid/>
        <w:jc w:val="left"/>
        <w:rPr>
          <w:rFonts w:hint="default"/>
          <w:b/>
          <w:bCs/>
          <w:i w:val="0"/>
          <w:iCs w:val="0"/>
          <w:color w:val="auto"/>
          <w:sz w:val="20"/>
          <w:szCs w:val="20"/>
          <w:lang w:val="en-US" w:eastAsia="zh-CN"/>
        </w:rPr>
      </w:pPr>
      <w:r>
        <w:rPr>
          <w:rFonts w:hint="eastAsia" w:eastAsia="Times New Roman" w:cs="Times New Roman"/>
          <w:b/>
          <w:bCs/>
          <w:kern w:val="0"/>
          <w:sz w:val="20"/>
          <w:lang w:val="en-US" w:eastAsia="zh-CN"/>
        </w:rPr>
        <w:t>Proposal 2: For the</w:t>
      </w:r>
      <w:r>
        <w:rPr>
          <w:rFonts w:hint="eastAsia"/>
          <w:b/>
          <w:bCs/>
          <w:i w:val="0"/>
          <w:iCs w:val="0"/>
          <w:color w:val="auto"/>
          <w:sz w:val="20"/>
          <w:szCs w:val="20"/>
          <w:lang w:val="en-US" w:eastAsia="zh-CN"/>
        </w:rPr>
        <w:t xml:space="preserve"> </w:t>
      </w:r>
      <w:r>
        <w:rPr>
          <w:rFonts w:hint="default" w:ascii="Times New Roman" w:hAnsi="Times New Roman" w:cs="Times New Roman"/>
          <w:b/>
          <w:bCs/>
          <w:i w:val="0"/>
          <w:iCs w:val="0"/>
          <w:color w:val="auto"/>
          <w:sz w:val="20"/>
          <w:szCs w:val="20"/>
          <w:lang w:val="en-GB" w:eastAsia="zh-CN"/>
        </w:rPr>
        <w:t>∆</w:t>
      </w:r>
      <w:r>
        <w:rPr>
          <w:rFonts w:hint="eastAsia"/>
          <w:b/>
          <w:bCs/>
          <w:i w:val="0"/>
          <w:iCs w:val="0"/>
          <w:color w:val="auto"/>
          <w:sz w:val="20"/>
          <w:szCs w:val="20"/>
          <w:lang w:val="en-GB" w:eastAsia="zh-CN"/>
        </w:rPr>
        <w:t>T</w:t>
      </w:r>
      <w:r>
        <w:rPr>
          <w:rFonts w:hint="eastAsia"/>
          <w:b/>
          <w:bCs/>
          <w:i w:val="0"/>
          <w:iCs w:val="0"/>
          <w:color w:val="auto"/>
          <w:sz w:val="20"/>
          <w:szCs w:val="20"/>
          <w:vertAlign w:val="subscript"/>
          <w:lang w:val="en-GB" w:eastAsia="zh-CN"/>
        </w:rPr>
        <w:t>RxSRS</w:t>
      </w:r>
      <w:r>
        <w:rPr>
          <w:rFonts w:hint="eastAsia"/>
          <w:b/>
          <w:bCs/>
          <w:i w:val="0"/>
          <w:iCs w:val="0"/>
          <w:color w:val="auto"/>
          <w:sz w:val="20"/>
          <w:szCs w:val="20"/>
          <w:lang w:val="en-US" w:eastAsia="zh-CN"/>
        </w:rPr>
        <w:t xml:space="preserve"> requirements for bands n79 and n104, t</w:t>
      </w:r>
      <w:r>
        <w:rPr>
          <w:rFonts w:hint="eastAsia" w:eastAsia="Times New Roman" w:cs="Times New Roman"/>
          <w:b/>
          <w:bCs/>
          <w:kern w:val="0"/>
          <w:sz w:val="20"/>
          <w:lang w:val="en-US" w:eastAsia="zh-CN"/>
        </w:rPr>
        <w:t>o adopt the values in Option 10. Alternatively,</w:t>
      </w:r>
      <w:r>
        <w:rPr>
          <w:rFonts w:hint="eastAsia" w:eastAsia="Times New Roman" w:cs="Times New Roman"/>
          <w:kern w:val="0"/>
          <w:sz w:val="20"/>
          <w:lang w:val="en-US" w:eastAsia="zh-CN"/>
        </w:rPr>
        <w:t xml:space="preserve"> </w:t>
      </w:r>
      <w:r>
        <w:rPr>
          <w:rFonts w:hint="eastAsia" w:eastAsia="Times New Roman" w:cs="Times New Roman"/>
          <w:b/>
          <w:bCs/>
          <w:kern w:val="0"/>
          <w:sz w:val="20"/>
          <w:lang w:val="en-US" w:eastAsia="zh-CN"/>
        </w:rPr>
        <w:t xml:space="preserve">to consider the values below: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1794"/>
        <w:gridCol w:w="1954"/>
        <w:gridCol w:w="2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52"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b/>
                <w:bCs/>
                <w:color w:val="000000"/>
                <w:kern w:val="0"/>
                <w:sz w:val="18"/>
                <w:szCs w:val="22"/>
                <w:lang w:val="en-US" w:eastAsia="zh-CN"/>
              </w:rPr>
            </w:pPr>
            <w:r>
              <w:rPr>
                <w:rFonts w:ascii="Times New Roman" w:hAnsi="Times New Roman" w:eastAsia="等线" w:cs="Times New Roman"/>
                <w:b/>
                <w:bCs/>
                <w:color w:val="000000"/>
                <w:kern w:val="0"/>
                <w:sz w:val="18"/>
                <w:szCs w:val="22"/>
                <w:lang w:val="en-US" w:eastAsia="zh-CN"/>
              </w:rPr>
              <w:t>Operating Bands</w:t>
            </w:r>
          </w:p>
        </w:tc>
        <w:tc>
          <w:tcPr>
            <w:tcW w:w="1794"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rPr>
            </w:pPr>
            <w:r>
              <w:rPr>
                <w:rFonts w:ascii="Times New Roman" w:hAnsi="Times New Roman" w:eastAsia="等线" w:cs="Times New Roman"/>
                <w:b/>
                <w:bCs/>
                <w:color w:val="000000"/>
                <w:kern w:val="0"/>
                <w:sz w:val="18"/>
                <w:szCs w:val="22"/>
                <w:lang w:val="en-US" w:eastAsia="zh-CN"/>
              </w:rPr>
              <w:t>ΔTRxSRS t1r6 (dB)</w:t>
            </w:r>
          </w:p>
        </w:tc>
        <w:tc>
          <w:tcPr>
            <w:tcW w:w="1954"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rPr>
            </w:pPr>
            <w:r>
              <w:rPr>
                <w:rFonts w:ascii="Times New Roman" w:hAnsi="Times New Roman" w:eastAsia="等线" w:cs="Times New Roman"/>
                <w:b/>
                <w:bCs/>
                <w:color w:val="000000"/>
                <w:kern w:val="0"/>
                <w:sz w:val="18"/>
                <w:szCs w:val="22"/>
                <w:lang w:val="en-US" w:eastAsia="zh-CN"/>
              </w:rPr>
              <w:t>ΔTRxSRS t2r6 (dB)</w:t>
            </w:r>
          </w:p>
        </w:tc>
        <w:tc>
          <w:tcPr>
            <w:tcW w:w="2387"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rPr>
            </w:pPr>
            <w:r>
              <w:rPr>
                <w:rFonts w:ascii="Times New Roman" w:hAnsi="Times New Roman" w:eastAsia="等线" w:cs="Times New Roman"/>
                <w:b/>
                <w:bCs/>
                <w:color w:val="000000"/>
                <w:kern w:val="0"/>
                <w:sz w:val="18"/>
                <w:szCs w:val="22"/>
                <w:lang w:val="en-US" w:eastAsia="zh-CN"/>
              </w:rPr>
              <w:t>ΔTRxSRS  t1r6-t2r6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52"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b/>
                <w:bCs/>
                <w:color w:val="000000"/>
                <w:kern w:val="0"/>
                <w:sz w:val="18"/>
                <w:szCs w:val="22"/>
                <w:lang w:val="en-US" w:eastAsia="zh-CN" w:bidi="ar-SA"/>
              </w:rPr>
            </w:pPr>
            <w:r>
              <w:rPr>
                <w:rFonts w:ascii="Times New Roman" w:hAnsi="Times New Roman" w:eastAsia="等线" w:cs="Times New Roman"/>
                <w:b/>
                <w:bCs/>
                <w:color w:val="000000"/>
                <w:kern w:val="0"/>
                <w:sz w:val="18"/>
                <w:szCs w:val="22"/>
                <w:lang w:val="en-US" w:eastAsia="zh-CN"/>
              </w:rPr>
              <w:t xml:space="preserve">Band </w:t>
            </w:r>
            <w:r>
              <w:rPr>
                <w:rFonts w:hint="eastAsia" w:eastAsia="等线" w:cs="Times New Roman"/>
                <w:b/>
                <w:bCs/>
                <w:color w:val="000000"/>
                <w:kern w:val="0"/>
                <w:sz w:val="18"/>
                <w:szCs w:val="22"/>
                <w:lang w:val="en-US" w:eastAsia="zh-CN"/>
              </w:rPr>
              <w:t xml:space="preserve">n79, </w:t>
            </w:r>
            <w:r>
              <w:rPr>
                <w:rFonts w:ascii="Times New Roman" w:hAnsi="Times New Roman" w:eastAsia="等线" w:cs="Times New Roman"/>
                <w:b/>
                <w:bCs/>
                <w:color w:val="000000"/>
                <w:kern w:val="0"/>
                <w:sz w:val="18"/>
                <w:szCs w:val="22"/>
                <w:lang w:val="en-US" w:eastAsia="zh-CN"/>
              </w:rPr>
              <w:t>n104</w:t>
            </w:r>
          </w:p>
        </w:tc>
        <w:tc>
          <w:tcPr>
            <w:tcW w:w="1794"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bidi="ar-SA"/>
              </w:rPr>
            </w:pPr>
            <w:r>
              <w:rPr>
                <w:rFonts w:ascii="Times New Roman" w:hAnsi="Times New Roman" w:eastAsia="等线" w:cs="Times New Roman"/>
                <w:b/>
                <w:bCs/>
                <w:color w:val="000000"/>
                <w:kern w:val="0"/>
                <w:sz w:val="18"/>
                <w:szCs w:val="22"/>
                <w:lang w:val="en-US" w:eastAsia="zh-CN"/>
              </w:rPr>
              <w:t>5.7</w:t>
            </w:r>
          </w:p>
        </w:tc>
        <w:tc>
          <w:tcPr>
            <w:tcW w:w="1954"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bidi="ar-SA"/>
              </w:rPr>
            </w:pPr>
            <w:r>
              <w:rPr>
                <w:rFonts w:ascii="Times New Roman" w:hAnsi="Times New Roman" w:eastAsia="等线" w:cs="Times New Roman"/>
                <w:b/>
                <w:bCs/>
                <w:color w:val="000000"/>
                <w:kern w:val="0"/>
                <w:sz w:val="18"/>
                <w:szCs w:val="22"/>
                <w:lang w:val="en-US" w:eastAsia="zh-CN"/>
              </w:rPr>
              <w:t>5.0</w:t>
            </w:r>
          </w:p>
        </w:tc>
        <w:tc>
          <w:tcPr>
            <w:tcW w:w="2387"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bidi="ar-SA"/>
              </w:rPr>
            </w:pPr>
            <w:r>
              <w:rPr>
                <w:rFonts w:ascii="Times New Roman" w:hAnsi="Times New Roman" w:eastAsia="等线" w:cs="Times New Roman"/>
                <w:b/>
                <w:bCs/>
                <w:color w:val="000000"/>
                <w:kern w:val="0"/>
                <w:sz w:val="18"/>
                <w:szCs w:val="22"/>
                <w:lang w:val="en-US" w:eastAsia="zh-CN"/>
              </w:rPr>
              <w:t>6.3</w:t>
            </w:r>
          </w:p>
        </w:tc>
      </w:tr>
    </w:tbl>
    <w:p>
      <w:pPr>
        <w:keepNext/>
        <w:keepLines/>
        <w:pageBreakBefore w:val="0"/>
        <w:widowControl w:val="0"/>
        <w:suppressLineNumbers w:val="0"/>
        <w:kinsoku/>
        <w:wordWrap/>
        <w:topLinePunct w:val="0"/>
        <w:bidi w:val="0"/>
        <w:snapToGrid/>
        <w:jc w:val="left"/>
        <w:rPr>
          <w:rFonts w:hint="eastAsia" w:cs="Times New Roman"/>
          <w:bCs/>
          <w:kern w:val="0"/>
          <w:sz w:val="20"/>
          <w:lang w:val="en-US" w:eastAsia="zh-CN"/>
        </w:rPr>
      </w:pPr>
      <w:r>
        <w:rPr>
          <w:rFonts w:hint="eastAsia" w:cs="Times New Roman"/>
          <w:bCs/>
          <w:kern w:val="0"/>
          <w:sz w:val="20"/>
          <w:lang w:val="en-US" w:eastAsia="zh-CN"/>
        </w:rPr>
        <w:t xml:space="preserve"> </w:t>
      </w:r>
    </w:p>
    <w:bookmarkEnd w:id="11"/>
    <w:bookmarkEnd w:id="12"/>
    <w:bookmarkEnd w:id="13"/>
    <w:bookmarkEnd w:id="14"/>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 xml:space="preserve">we give some further discussion on the 6Rx SRS antenna switching, including REFSEN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bCs/>
          <w:kern w:val="0"/>
          <w:sz w:val="20"/>
          <w:szCs w:val="20"/>
          <w:highlight w:val="none"/>
          <w:lang w:val="en-US" w:eastAsia="zh-CN"/>
        </w:rPr>
        <w:t>value</w:t>
      </w:r>
      <w:r>
        <w:rPr>
          <w:rFonts w:hint="eastAsia"/>
          <w:b w:val="0"/>
          <w:bCs/>
          <w:i w:val="0"/>
          <w:iCs w:val="0"/>
          <w:kern w:val="0"/>
          <w:sz w:val="20"/>
          <w:szCs w:val="20"/>
          <w:highlight w:val="none"/>
          <w:u w:val="none"/>
          <w:lang w:val="en-US" w:eastAsia="zh-CN"/>
        </w:rPr>
        <w:t>s</w:t>
      </w:r>
      <w:r>
        <w:rPr>
          <w:rFonts w:hint="eastAsia"/>
          <w:bCs/>
          <w:kern w:val="0"/>
          <w:sz w:val="20"/>
          <w:szCs w:val="20"/>
          <w:highlight w:val="none"/>
          <w:lang w:val="en-US" w:eastAsia="zh-CN"/>
        </w:rPr>
        <w:t>. The conclusions are:</w:t>
      </w:r>
    </w:p>
    <w:p>
      <w:pPr>
        <w:keepNext/>
        <w:keepLines/>
        <w:pageBreakBefore w:val="0"/>
        <w:widowControl/>
        <w:suppressLineNumbers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hint="default" w:eastAsia="宋体" w:cs="Times New Roman"/>
          <w:b/>
          <w:bCs/>
          <w:color w:val="auto"/>
          <w:kern w:val="2"/>
          <w:sz w:val="20"/>
          <w:szCs w:val="20"/>
          <w:lang w:val="en-US" w:eastAsia="zh-CN"/>
        </w:rPr>
      </w:pPr>
      <w:r>
        <w:rPr>
          <w:rFonts w:hint="eastAsia" w:eastAsia="宋体" w:cs="Times New Roman"/>
          <w:b/>
          <w:bCs/>
          <w:color w:val="auto"/>
          <w:kern w:val="2"/>
          <w:sz w:val="20"/>
          <w:szCs w:val="20"/>
          <w:lang w:val="en-US" w:eastAsia="zh-CN"/>
        </w:rPr>
        <w:t>Ob</w:t>
      </w:r>
      <w:r>
        <w:rPr>
          <w:rFonts w:hint="eastAsia" w:cs="Times New Roman"/>
          <w:b/>
          <w:bCs/>
          <w:color w:val="auto"/>
          <w:kern w:val="2"/>
          <w:sz w:val="20"/>
          <w:szCs w:val="20"/>
          <w:lang w:val="en-US" w:eastAsia="zh-CN"/>
        </w:rPr>
        <w:t>s</w:t>
      </w:r>
      <w:r>
        <w:rPr>
          <w:rFonts w:hint="eastAsia" w:eastAsia="宋体" w:cs="Times New Roman"/>
          <w:b/>
          <w:bCs/>
          <w:color w:val="auto"/>
          <w:kern w:val="2"/>
          <w:sz w:val="20"/>
          <w:szCs w:val="20"/>
          <w:lang w:val="en-US" w:eastAsia="zh-CN"/>
        </w:rPr>
        <w:t>er</w:t>
      </w:r>
      <w:r>
        <w:rPr>
          <w:rFonts w:hint="eastAsia" w:cs="Times New Roman"/>
          <w:b/>
          <w:bCs/>
          <w:color w:val="auto"/>
          <w:kern w:val="2"/>
          <w:sz w:val="20"/>
          <w:szCs w:val="20"/>
          <w:lang w:val="en-US" w:eastAsia="zh-CN"/>
        </w:rPr>
        <w:t>v</w:t>
      </w:r>
      <w:r>
        <w:rPr>
          <w:rFonts w:hint="eastAsia" w:eastAsia="宋体" w:cs="Times New Roman"/>
          <w:b/>
          <w:bCs/>
          <w:color w:val="auto"/>
          <w:kern w:val="2"/>
          <w:sz w:val="20"/>
          <w:szCs w:val="20"/>
          <w:lang w:val="en-US" w:eastAsia="zh-CN"/>
        </w:rPr>
        <w:t xml:space="preserve">ation 1: There is no </w:t>
      </w:r>
      <w:r>
        <w:rPr>
          <w:rFonts w:hint="eastAsia" w:ascii="Times New Roman" w:hAnsi="Times New Roman" w:eastAsia="宋体" w:cs="Times New Roman"/>
          <w:b/>
          <w:bCs/>
          <w:color w:val="auto"/>
          <w:kern w:val="2"/>
          <w:sz w:val="20"/>
          <w:szCs w:val="20"/>
          <w:lang w:val="en-US" w:eastAsia="zh-CN"/>
        </w:rPr>
        <w:t>additional breakpoint</w:t>
      </w:r>
      <w:r>
        <w:rPr>
          <w:rFonts w:hint="eastAsia" w:eastAsia="宋体" w:cs="Times New Roman"/>
          <w:b/>
          <w:bCs/>
          <w:color w:val="auto"/>
          <w:kern w:val="2"/>
          <w:sz w:val="20"/>
          <w:szCs w:val="20"/>
          <w:lang w:val="en-US" w:eastAsia="zh-CN"/>
        </w:rPr>
        <w:t xml:space="preserve"> introduced for band n104 supporting 4Rx</w:t>
      </w:r>
      <w:r>
        <w:rPr>
          <w:rFonts w:hint="eastAsia" w:cs="Times New Roman"/>
          <w:b/>
          <w:bCs/>
          <w:color w:val="auto"/>
          <w:kern w:val="2"/>
          <w:sz w:val="20"/>
          <w:szCs w:val="20"/>
          <w:lang w:val="en-US" w:eastAsia="zh-CN"/>
        </w:rPr>
        <w:t>.</w:t>
      </w:r>
    </w:p>
    <w:p>
      <w:pPr>
        <w:keepNext/>
        <w:keepLines/>
        <w:pageBreakBefore w:val="0"/>
        <w:widowControl/>
        <w:suppressLineNumbers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hint="eastAsia" w:cs="Times New Roman"/>
          <w:b w:val="0"/>
          <w:bCs w:val="0"/>
          <w:i w:val="0"/>
          <w:iCs w:val="0"/>
          <w:color w:val="000000"/>
          <w:kern w:val="0"/>
          <w:sz w:val="20"/>
          <w:szCs w:val="20"/>
          <w:u w:val="none"/>
          <w:vertAlign w:val="baseline"/>
          <w:lang w:val="en-US" w:eastAsia="zh-CN" w:bidi="ar"/>
        </w:rPr>
      </w:pPr>
      <w:r>
        <w:rPr>
          <w:rFonts w:hint="eastAsia" w:eastAsia="宋体" w:cs="Times New Roman"/>
          <w:b/>
          <w:bCs/>
          <w:color w:val="auto"/>
          <w:kern w:val="2"/>
          <w:sz w:val="20"/>
          <w:szCs w:val="20"/>
          <w:lang w:val="en-US" w:eastAsia="zh-CN"/>
        </w:rPr>
        <w:t>Ob</w:t>
      </w:r>
      <w:r>
        <w:rPr>
          <w:rFonts w:hint="eastAsia" w:cs="Times New Roman"/>
          <w:b/>
          <w:bCs/>
          <w:color w:val="auto"/>
          <w:kern w:val="2"/>
          <w:sz w:val="20"/>
          <w:szCs w:val="20"/>
          <w:lang w:val="en-US" w:eastAsia="zh-CN"/>
        </w:rPr>
        <w:t>s</w:t>
      </w:r>
      <w:r>
        <w:rPr>
          <w:rFonts w:hint="eastAsia" w:eastAsia="宋体" w:cs="Times New Roman"/>
          <w:b/>
          <w:bCs/>
          <w:color w:val="auto"/>
          <w:kern w:val="2"/>
          <w:sz w:val="20"/>
          <w:szCs w:val="20"/>
          <w:lang w:val="en-US" w:eastAsia="zh-CN"/>
        </w:rPr>
        <w:t>er</w:t>
      </w:r>
      <w:r>
        <w:rPr>
          <w:rFonts w:hint="eastAsia" w:cs="Times New Roman"/>
          <w:b/>
          <w:bCs/>
          <w:color w:val="auto"/>
          <w:kern w:val="2"/>
          <w:sz w:val="20"/>
          <w:szCs w:val="20"/>
          <w:lang w:val="en-US" w:eastAsia="zh-CN"/>
        </w:rPr>
        <w:t>v</w:t>
      </w:r>
      <w:r>
        <w:rPr>
          <w:rFonts w:hint="eastAsia" w:eastAsia="宋体" w:cs="Times New Roman"/>
          <w:b/>
          <w:bCs/>
          <w:color w:val="auto"/>
          <w:kern w:val="2"/>
          <w:sz w:val="20"/>
          <w:szCs w:val="20"/>
          <w:lang w:val="en-US" w:eastAsia="zh-CN"/>
        </w:rPr>
        <w:t xml:space="preserve">ation </w:t>
      </w:r>
      <w:r>
        <w:rPr>
          <w:rFonts w:hint="eastAsia" w:cs="Times New Roman"/>
          <w:b/>
          <w:bCs/>
          <w:color w:val="auto"/>
          <w:kern w:val="2"/>
          <w:sz w:val="20"/>
          <w:szCs w:val="20"/>
          <w:lang w:val="en-US" w:eastAsia="zh-CN"/>
        </w:rPr>
        <w:t>2</w:t>
      </w:r>
      <w:r>
        <w:rPr>
          <w:rFonts w:hint="eastAsia" w:eastAsia="宋体" w:cs="Times New Roman"/>
          <w:b/>
          <w:bCs/>
          <w:color w:val="auto"/>
          <w:kern w:val="2"/>
          <w:sz w:val="20"/>
          <w:szCs w:val="20"/>
          <w:lang w:val="en-US" w:eastAsia="zh-CN"/>
        </w:rPr>
        <w:t xml:space="preserve">: </w:t>
      </w:r>
      <w:r>
        <w:rPr>
          <w:rFonts w:hint="eastAsia"/>
          <w:b/>
          <w:bCs/>
          <w:i w:val="0"/>
          <w:iCs w:val="0"/>
          <w:color w:val="auto"/>
          <w:sz w:val="20"/>
          <w:szCs w:val="20"/>
          <w:lang w:val="en-US" w:eastAsia="zh-CN"/>
        </w:rPr>
        <w:t>If</w:t>
      </w:r>
      <w:r>
        <w:rPr>
          <w:rFonts w:hint="eastAsia" w:eastAsia="Times New Roman" w:cs="Times New Roman"/>
          <w:b/>
          <w:bCs/>
          <w:kern w:val="0"/>
          <w:sz w:val="20"/>
          <w:szCs w:val="20"/>
          <w:lang w:val="en-US" w:eastAsia="zh-CN"/>
        </w:rPr>
        <w:t xml:space="preserve"> </w:t>
      </w:r>
      <w:r>
        <w:rPr>
          <w:rFonts w:ascii="Times New Roman" w:hAnsi="Times New Roman" w:eastAsia="Times New Roman" w:cs="Times New Roman"/>
          <w:b/>
          <w:bCs/>
          <w:kern w:val="0"/>
          <w:sz w:val="20"/>
          <w:szCs w:val="20"/>
          <w:lang w:val="en-GB" w:eastAsia="zh-CN"/>
        </w:rPr>
        <w:t>introduce an additional breakpoint for bands whose F</w:t>
      </w:r>
      <w:r>
        <w:rPr>
          <w:rFonts w:ascii="Times New Roman" w:hAnsi="Times New Roman" w:eastAsia="Times New Roman" w:cs="Times New Roman"/>
          <w:b/>
          <w:bCs/>
          <w:kern w:val="0"/>
          <w:sz w:val="20"/>
          <w:szCs w:val="20"/>
          <w:vertAlign w:val="subscript"/>
          <w:lang w:val="en-GB" w:eastAsia="zh-CN"/>
        </w:rPr>
        <w:t>UL_high</w:t>
      </w:r>
      <w:r>
        <w:rPr>
          <w:rFonts w:ascii="Times New Roman" w:hAnsi="Times New Roman" w:eastAsia="Times New Roman" w:cs="Times New Roman"/>
          <w:b/>
          <w:bCs/>
          <w:kern w:val="0"/>
          <w:sz w:val="20"/>
          <w:szCs w:val="20"/>
          <w:lang w:val="en-GB" w:eastAsia="zh-CN"/>
        </w:rPr>
        <w:t xml:space="preserve"> is higher than the F</w:t>
      </w:r>
      <w:r>
        <w:rPr>
          <w:rFonts w:ascii="Times New Roman" w:hAnsi="Times New Roman" w:eastAsia="Times New Roman" w:cs="Times New Roman"/>
          <w:b/>
          <w:bCs/>
          <w:kern w:val="0"/>
          <w:sz w:val="20"/>
          <w:szCs w:val="20"/>
          <w:vertAlign w:val="subscript"/>
          <w:lang w:val="en-GB" w:eastAsia="zh-CN"/>
        </w:rPr>
        <w:t>UL_low</w:t>
      </w:r>
      <w:r>
        <w:rPr>
          <w:rFonts w:ascii="Times New Roman" w:hAnsi="Times New Roman" w:eastAsia="Times New Roman" w:cs="Times New Roman"/>
          <w:b/>
          <w:bCs/>
          <w:kern w:val="0"/>
          <w:sz w:val="20"/>
          <w:szCs w:val="20"/>
          <w:lang w:val="en-GB" w:eastAsia="zh-CN"/>
        </w:rPr>
        <w:t xml:space="preserve"> of n104</w:t>
      </w:r>
      <w:r>
        <w:rPr>
          <w:rFonts w:hint="eastAsia" w:eastAsia="Times New Roman" w:cs="Times New Roman"/>
          <w:b/>
          <w:bCs/>
          <w:kern w:val="0"/>
          <w:sz w:val="20"/>
          <w:szCs w:val="20"/>
          <w:lang w:val="en-US" w:eastAsia="zh-CN"/>
        </w:rPr>
        <w:t xml:space="preserve"> for 6Rx, then it may be also needed to revisit the </w:t>
      </w:r>
      <w:r>
        <w:rPr>
          <w:rFonts w:hint="default" w:ascii="Times New Roman" w:hAnsi="Times New Roman" w:cs="Times New Roman"/>
          <w:b/>
          <w:bCs/>
          <w:i w:val="0"/>
          <w:iCs w:val="0"/>
          <w:color w:val="auto"/>
          <w:sz w:val="20"/>
          <w:szCs w:val="20"/>
          <w:lang w:val="en-GB" w:eastAsia="zh-CN"/>
        </w:rPr>
        <w:t>∆</w:t>
      </w:r>
      <w:r>
        <w:rPr>
          <w:rFonts w:hint="eastAsia"/>
          <w:b/>
          <w:bCs/>
          <w:i w:val="0"/>
          <w:iCs w:val="0"/>
          <w:color w:val="auto"/>
          <w:sz w:val="20"/>
          <w:szCs w:val="20"/>
          <w:lang w:val="en-GB" w:eastAsia="zh-CN"/>
        </w:rPr>
        <w:t>T</w:t>
      </w:r>
      <w:r>
        <w:rPr>
          <w:rFonts w:hint="eastAsia"/>
          <w:b/>
          <w:bCs/>
          <w:i w:val="0"/>
          <w:iCs w:val="0"/>
          <w:color w:val="auto"/>
          <w:sz w:val="20"/>
          <w:szCs w:val="20"/>
          <w:vertAlign w:val="subscript"/>
          <w:lang w:val="en-GB" w:eastAsia="zh-CN"/>
        </w:rPr>
        <w:t>RxSRS</w:t>
      </w:r>
      <w:r>
        <w:rPr>
          <w:rFonts w:hint="eastAsia"/>
          <w:b/>
          <w:bCs/>
          <w:i w:val="0"/>
          <w:iCs w:val="0"/>
          <w:color w:val="auto"/>
          <w:sz w:val="20"/>
          <w:szCs w:val="20"/>
          <w:vertAlign w:val="subscript"/>
          <w:lang w:val="en-US" w:eastAsia="zh-CN"/>
        </w:rPr>
        <w:t xml:space="preserve"> </w:t>
      </w:r>
      <w:r>
        <w:rPr>
          <w:rFonts w:hint="eastAsia" w:eastAsia="Times New Roman" w:cs="Times New Roman"/>
          <w:b/>
          <w:bCs/>
          <w:kern w:val="0"/>
          <w:sz w:val="20"/>
          <w:szCs w:val="20"/>
          <w:lang w:val="en-US" w:eastAsia="zh-CN"/>
        </w:rPr>
        <w:t>requirement for n104 4Rx.</w:t>
      </w:r>
    </w:p>
    <w:p>
      <w:pPr>
        <w:keepNext/>
        <w:keepLines/>
        <w:pageBreakBefore w:val="0"/>
        <w:widowControl w:val="0"/>
        <w:suppressLineNumbers w:val="0"/>
        <w:kinsoku/>
        <w:wordWrap/>
        <w:topLinePunct w:val="0"/>
        <w:bidi w:val="0"/>
        <w:snapToGrid/>
        <w:jc w:val="left"/>
        <w:rPr>
          <w:rFonts w:hint="eastAsia" w:eastAsia="Times New Roman" w:cs="Times New Roman"/>
          <w:b/>
          <w:bCs/>
          <w:kern w:val="0"/>
          <w:sz w:val="20"/>
          <w:lang w:val="en-US" w:eastAsia="zh-CN"/>
        </w:rPr>
      </w:pPr>
      <w:r>
        <w:rPr>
          <w:rFonts w:hint="eastAsia"/>
          <w:b/>
          <w:bCs/>
          <w:i w:val="0"/>
          <w:iCs w:val="0"/>
          <w:color w:val="auto"/>
          <w:sz w:val="20"/>
          <w:szCs w:val="20"/>
          <w:lang w:val="en-US" w:eastAsia="zh-CN"/>
        </w:rPr>
        <w:t xml:space="preserve">Proposal 1. </w:t>
      </w:r>
      <w:r>
        <w:rPr>
          <w:rFonts w:ascii="Times New Roman" w:hAnsi="Times New Roman" w:eastAsia="Times New Roman" w:cs="Times New Roman"/>
          <w:b/>
          <w:bCs/>
          <w:kern w:val="0"/>
          <w:sz w:val="20"/>
          <w:lang w:val="en-GB" w:eastAsia="zh-CN"/>
        </w:rPr>
        <w:t>Do not consider an additional breakpoint for bands whose FUL_high is higher than the FUL_low of n104</w:t>
      </w:r>
      <w:r>
        <w:rPr>
          <w:rFonts w:hint="eastAsia" w:eastAsia="Times New Roman" w:cs="Times New Roman"/>
          <w:b/>
          <w:bCs/>
          <w:kern w:val="0"/>
          <w:sz w:val="20"/>
          <w:lang w:val="en-US" w:eastAsia="zh-CN"/>
        </w:rPr>
        <w:t>.</w:t>
      </w:r>
    </w:p>
    <w:p>
      <w:pPr>
        <w:keepNext/>
        <w:keepLines/>
        <w:pageBreakBefore w:val="0"/>
        <w:widowControl w:val="0"/>
        <w:suppressLineNumbers w:val="0"/>
        <w:kinsoku/>
        <w:wordWrap/>
        <w:topLinePunct w:val="0"/>
        <w:bidi w:val="0"/>
        <w:snapToGrid/>
        <w:jc w:val="left"/>
        <w:rPr>
          <w:rFonts w:hint="default"/>
          <w:b/>
          <w:bCs/>
          <w:i w:val="0"/>
          <w:iCs w:val="0"/>
          <w:color w:val="auto"/>
          <w:sz w:val="20"/>
          <w:szCs w:val="20"/>
          <w:lang w:val="en-US" w:eastAsia="zh-CN"/>
        </w:rPr>
      </w:pPr>
      <w:r>
        <w:rPr>
          <w:rFonts w:hint="eastAsia" w:eastAsia="Times New Roman" w:cs="Times New Roman"/>
          <w:b/>
          <w:bCs/>
          <w:kern w:val="0"/>
          <w:sz w:val="20"/>
          <w:lang w:val="en-US" w:eastAsia="zh-CN"/>
        </w:rPr>
        <w:t>Proposal 2: For the</w:t>
      </w:r>
      <w:r>
        <w:rPr>
          <w:rFonts w:hint="eastAsia"/>
          <w:b/>
          <w:bCs/>
          <w:i w:val="0"/>
          <w:iCs w:val="0"/>
          <w:color w:val="auto"/>
          <w:sz w:val="20"/>
          <w:szCs w:val="20"/>
          <w:lang w:val="en-US" w:eastAsia="zh-CN"/>
        </w:rPr>
        <w:t xml:space="preserve"> </w:t>
      </w:r>
      <w:r>
        <w:rPr>
          <w:rFonts w:hint="default" w:ascii="Times New Roman" w:hAnsi="Times New Roman" w:cs="Times New Roman"/>
          <w:b/>
          <w:bCs/>
          <w:i w:val="0"/>
          <w:iCs w:val="0"/>
          <w:color w:val="auto"/>
          <w:sz w:val="20"/>
          <w:szCs w:val="20"/>
          <w:lang w:val="en-GB" w:eastAsia="zh-CN"/>
        </w:rPr>
        <w:t>∆</w:t>
      </w:r>
      <w:r>
        <w:rPr>
          <w:rFonts w:hint="eastAsia"/>
          <w:b/>
          <w:bCs/>
          <w:i w:val="0"/>
          <w:iCs w:val="0"/>
          <w:color w:val="auto"/>
          <w:sz w:val="20"/>
          <w:szCs w:val="20"/>
          <w:lang w:val="en-GB" w:eastAsia="zh-CN"/>
        </w:rPr>
        <w:t>T</w:t>
      </w:r>
      <w:r>
        <w:rPr>
          <w:rFonts w:hint="eastAsia"/>
          <w:b/>
          <w:bCs/>
          <w:i w:val="0"/>
          <w:iCs w:val="0"/>
          <w:color w:val="auto"/>
          <w:sz w:val="20"/>
          <w:szCs w:val="20"/>
          <w:vertAlign w:val="subscript"/>
          <w:lang w:val="en-GB" w:eastAsia="zh-CN"/>
        </w:rPr>
        <w:t>RxSRS</w:t>
      </w:r>
      <w:r>
        <w:rPr>
          <w:rFonts w:hint="eastAsia"/>
          <w:b/>
          <w:bCs/>
          <w:i w:val="0"/>
          <w:iCs w:val="0"/>
          <w:color w:val="auto"/>
          <w:sz w:val="20"/>
          <w:szCs w:val="20"/>
          <w:lang w:val="en-US" w:eastAsia="zh-CN"/>
        </w:rPr>
        <w:t xml:space="preserve"> requirements for bands n79 and n104, t</w:t>
      </w:r>
      <w:r>
        <w:rPr>
          <w:rFonts w:hint="eastAsia" w:eastAsia="Times New Roman" w:cs="Times New Roman"/>
          <w:b/>
          <w:bCs/>
          <w:kern w:val="0"/>
          <w:sz w:val="20"/>
          <w:lang w:val="en-US" w:eastAsia="zh-CN"/>
        </w:rPr>
        <w:t>o adopt the values in Option 10. Alternatively,</w:t>
      </w:r>
      <w:r>
        <w:rPr>
          <w:rFonts w:hint="eastAsia" w:eastAsia="Times New Roman" w:cs="Times New Roman"/>
          <w:kern w:val="0"/>
          <w:sz w:val="20"/>
          <w:lang w:val="en-US" w:eastAsia="zh-CN"/>
        </w:rPr>
        <w:t xml:space="preserve"> </w:t>
      </w:r>
      <w:r>
        <w:rPr>
          <w:rFonts w:hint="eastAsia" w:eastAsia="Times New Roman" w:cs="Times New Roman"/>
          <w:b/>
          <w:bCs/>
          <w:kern w:val="0"/>
          <w:sz w:val="20"/>
          <w:lang w:val="en-US" w:eastAsia="zh-CN"/>
        </w:rPr>
        <w:t xml:space="preserve">to consider the values below: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1794"/>
        <w:gridCol w:w="1954"/>
        <w:gridCol w:w="2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930"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b/>
                <w:bCs/>
                <w:color w:val="000000"/>
                <w:kern w:val="0"/>
                <w:sz w:val="18"/>
                <w:szCs w:val="22"/>
                <w:lang w:val="en-US" w:eastAsia="zh-CN"/>
              </w:rPr>
            </w:pPr>
            <w:r>
              <w:rPr>
                <w:rFonts w:ascii="Times New Roman" w:hAnsi="Times New Roman" w:eastAsia="等线" w:cs="Times New Roman"/>
                <w:b/>
                <w:bCs/>
                <w:color w:val="000000"/>
                <w:kern w:val="0"/>
                <w:sz w:val="18"/>
                <w:szCs w:val="22"/>
                <w:lang w:val="en-US" w:eastAsia="zh-CN"/>
              </w:rPr>
              <w:t>Operating Bands</w:t>
            </w:r>
          </w:p>
        </w:tc>
        <w:tc>
          <w:tcPr>
            <w:tcW w:w="1794"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rPr>
            </w:pPr>
            <w:r>
              <w:rPr>
                <w:rFonts w:ascii="Times New Roman" w:hAnsi="Times New Roman" w:eastAsia="等线" w:cs="Times New Roman"/>
                <w:b/>
                <w:bCs/>
                <w:color w:val="000000"/>
                <w:kern w:val="0"/>
                <w:sz w:val="18"/>
                <w:szCs w:val="22"/>
                <w:lang w:val="en-US" w:eastAsia="zh-CN"/>
              </w:rPr>
              <w:t>ΔTRxSRS t1r6 (dB)</w:t>
            </w:r>
          </w:p>
        </w:tc>
        <w:tc>
          <w:tcPr>
            <w:tcW w:w="1954"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rPr>
            </w:pPr>
            <w:r>
              <w:rPr>
                <w:rFonts w:ascii="Times New Roman" w:hAnsi="Times New Roman" w:eastAsia="等线" w:cs="Times New Roman"/>
                <w:b/>
                <w:bCs/>
                <w:color w:val="000000"/>
                <w:kern w:val="0"/>
                <w:sz w:val="18"/>
                <w:szCs w:val="22"/>
                <w:lang w:val="en-US" w:eastAsia="zh-CN"/>
              </w:rPr>
              <w:t>ΔTRxSRS t2r6 (dB)</w:t>
            </w:r>
          </w:p>
        </w:tc>
        <w:tc>
          <w:tcPr>
            <w:tcW w:w="2387"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rPr>
            </w:pPr>
            <w:r>
              <w:rPr>
                <w:rFonts w:ascii="Times New Roman" w:hAnsi="Times New Roman" w:eastAsia="等线" w:cs="Times New Roman"/>
                <w:b/>
                <w:bCs/>
                <w:color w:val="000000"/>
                <w:kern w:val="0"/>
                <w:sz w:val="18"/>
                <w:szCs w:val="22"/>
                <w:lang w:val="en-US" w:eastAsia="zh-CN"/>
              </w:rPr>
              <w:t>ΔTRxSRS  t1r6-t2r6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930"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b/>
                <w:bCs/>
                <w:color w:val="000000"/>
                <w:kern w:val="0"/>
                <w:sz w:val="18"/>
                <w:szCs w:val="22"/>
                <w:lang w:val="en-US" w:eastAsia="zh-CN" w:bidi="ar-SA"/>
              </w:rPr>
            </w:pPr>
            <w:r>
              <w:rPr>
                <w:rFonts w:ascii="Times New Roman" w:hAnsi="Times New Roman" w:eastAsia="等线" w:cs="Times New Roman"/>
                <w:b/>
                <w:bCs/>
                <w:color w:val="000000"/>
                <w:kern w:val="0"/>
                <w:sz w:val="18"/>
                <w:szCs w:val="22"/>
                <w:lang w:val="en-US" w:eastAsia="zh-CN"/>
              </w:rPr>
              <w:t xml:space="preserve">Band </w:t>
            </w:r>
            <w:r>
              <w:rPr>
                <w:rFonts w:hint="eastAsia" w:eastAsia="等线" w:cs="Times New Roman"/>
                <w:b/>
                <w:bCs/>
                <w:color w:val="000000"/>
                <w:kern w:val="0"/>
                <w:sz w:val="18"/>
                <w:szCs w:val="22"/>
                <w:lang w:val="en-US" w:eastAsia="zh-CN"/>
              </w:rPr>
              <w:t xml:space="preserve">n79, </w:t>
            </w:r>
            <w:r>
              <w:rPr>
                <w:rFonts w:ascii="Times New Roman" w:hAnsi="Times New Roman" w:eastAsia="等线" w:cs="Times New Roman"/>
                <w:b/>
                <w:bCs/>
                <w:color w:val="000000"/>
                <w:kern w:val="0"/>
                <w:sz w:val="18"/>
                <w:szCs w:val="22"/>
                <w:lang w:val="en-US" w:eastAsia="zh-CN"/>
              </w:rPr>
              <w:t>n104</w:t>
            </w:r>
          </w:p>
        </w:tc>
        <w:tc>
          <w:tcPr>
            <w:tcW w:w="1794"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bidi="ar-SA"/>
              </w:rPr>
            </w:pPr>
            <w:r>
              <w:rPr>
                <w:rFonts w:ascii="Times New Roman" w:hAnsi="Times New Roman" w:eastAsia="等线" w:cs="Times New Roman"/>
                <w:b/>
                <w:bCs/>
                <w:color w:val="000000"/>
                <w:kern w:val="0"/>
                <w:sz w:val="18"/>
                <w:szCs w:val="22"/>
                <w:lang w:val="en-US" w:eastAsia="zh-CN"/>
              </w:rPr>
              <w:t>5.7</w:t>
            </w:r>
          </w:p>
        </w:tc>
        <w:tc>
          <w:tcPr>
            <w:tcW w:w="1954"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bidi="ar-SA"/>
              </w:rPr>
            </w:pPr>
            <w:r>
              <w:rPr>
                <w:rFonts w:ascii="Times New Roman" w:hAnsi="Times New Roman" w:eastAsia="等线" w:cs="Times New Roman"/>
                <w:b/>
                <w:bCs/>
                <w:color w:val="000000"/>
                <w:kern w:val="0"/>
                <w:sz w:val="18"/>
                <w:szCs w:val="22"/>
                <w:lang w:val="en-US" w:eastAsia="zh-CN"/>
              </w:rPr>
              <w:t>5.0</w:t>
            </w:r>
          </w:p>
        </w:tc>
        <w:tc>
          <w:tcPr>
            <w:tcW w:w="2387" w:type="dxa"/>
            <w:tcBorders>
              <w:tl2br w:val="nil"/>
              <w:tr2bl w:val="nil"/>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bCs/>
                <w:color w:val="000000"/>
                <w:kern w:val="0"/>
                <w:sz w:val="18"/>
                <w:szCs w:val="22"/>
                <w:lang w:val="en-US" w:eastAsia="zh-CN" w:bidi="ar-SA"/>
              </w:rPr>
            </w:pPr>
            <w:r>
              <w:rPr>
                <w:rFonts w:ascii="Times New Roman" w:hAnsi="Times New Roman" w:eastAsia="等线" w:cs="Times New Roman"/>
                <w:b/>
                <w:bCs/>
                <w:color w:val="000000"/>
                <w:kern w:val="0"/>
                <w:sz w:val="18"/>
                <w:szCs w:val="22"/>
                <w:lang w:val="en-US" w:eastAsia="zh-CN"/>
              </w:rPr>
              <w:t>6.3</w:t>
            </w:r>
          </w:p>
        </w:tc>
      </w:tr>
    </w:tbl>
    <w:p>
      <w:pPr>
        <w:keepNext/>
        <w:keepLines/>
        <w:pageBreakBefore w:val="0"/>
        <w:widowControl w:val="0"/>
        <w:suppressLineNumbers w:val="0"/>
        <w:kinsoku/>
        <w:wordWrap/>
        <w:topLinePunct w:val="0"/>
        <w:bidi w:val="0"/>
        <w:snapToGrid/>
        <w:jc w:val="left"/>
        <w:rPr>
          <w:rFonts w:hint="default"/>
          <w:b/>
          <w:bCs/>
          <w:i w:val="0"/>
          <w:iCs w:val="0"/>
          <w:color w:val="auto"/>
          <w:sz w:val="20"/>
          <w:szCs w:val="20"/>
          <w:lang w:val="en-US" w:eastAsia="zh-CN"/>
        </w:rPr>
      </w:pP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[1] </w:t>
      </w:r>
      <w:r>
        <w:rPr>
          <w:rFonts w:hint="eastAsia" w:ascii="Times New Roman" w:hAnsi="Times New Roman" w:eastAsia="宋体" w:cs="Times New Roman"/>
          <w:kern w:val="2"/>
          <w:sz w:val="20"/>
          <w:szCs w:val="20"/>
          <w:lang w:val="en-US" w:eastAsia="zh-TW" w:bidi="ar-SA"/>
        </w:rPr>
        <w:t xml:space="preserve"> </w:t>
      </w:r>
      <w:bookmarkStart w:id="15" w:name="OLE_LINK10"/>
      <w:r>
        <w:rPr>
          <w:rFonts w:hint="eastAsia" w:ascii="Times New Roman" w:hAnsi="Times New Roman" w:eastAsia="宋体" w:cs="Times New Roman"/>
          <w:kern w:val="2"/>
          <w:sz w:val="20"/>
          <w:szCs w:val="20"/>
          <w:lang w:val="en-US" w:eastAsia="zh-CN" w:bidi="ar-SA"/>
        </w:rPr>
        <w:t>R4-241</w:t>
      </w:r>
      <w:r>
        <w:rPr>
          <w:rFonts w:hint="eastAsia" w:cs="Times New Roman"/>
          <w:kern w:val="2"/>
          <w:sz w:val="20"/>
          <w:szCs w:val="20"/>
          <w:lang w:val="en-US" w:eastAsia="zh-CN" w:bidi="ar-SA"/>
        </w:rPr>
        <w:t>4285</w:t>
      </w:r>
      <w:r>
        <w:rPr>
          <w:rFonts w:hint="eastAsia" w:ascii="Times New Roman" w:hAnsi="Times New Roman" w:eastAsia="宋体" w:cs="Times New Roman"/>
          <w:kern w:val="2"/>
          <w:sz w:val="20"/>
          <w:szCs w:val="20"/>
          <w:lang w:val="en-US" w:eastAsia="zh-CN" w:bidi="ar-SA"/>
        </w:rPr>
        <w:t>, WF on requirements for 6Rx, AT&amp;T</w:t>
      </w:r>
    </w:p>
    <w:bookmarkEnd w:id="15"/>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[2]  R4-2411884 Further discussion on 6Rx SRS antenna switching requirement, ZTE, Sanechips</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topLinePunct w:val="0"/>
        <w:bidi w:val="0"/>
        <w:snapToGrid/>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topLinePunct w:val="0"/>
        <w:bidi w:val="0"/>
        <w:snapToGrid/>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80576"/>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3513"/>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E2663"/>
    <w:rsid w:val="01FB366B"/>
    <w:rsid w:val="01FD3930"/>
    <w:rsid w:val="020307DB"/>
    <w:rsid w:val="02036722"/>
    <w:rsid w:val="021B7C87"/>
    <w:rsid w:val="021E522C"/>
    <w:rsid w:val="022D4A6E"/>
    <w:rsid w:val="023B0A39"/>
    <w:rsid w:val="023C78A7"/>
    <w:rsid w:val="02444B7E"/>
    <w:rsid w:val="02445A3F"/>
    <w:rsid w:val="024929E9"/>
    <w:rsid w:val="024B023C"/>
    <w:rsid w:val="024D6B6A"/>
    <w:rsid w:val="02510B5E"/>
    <w:rsid w:val="02566C17"/>
    <w:rsid w:val="025741F7"/>
    <w:rsid w:val="025F524E"/>
    <w:rsid w:val="02610521"/>
    <w:rsid w:val="02650658"/>
    <w:rsid w:val="027275A1"/>
    <w:rsid w:val="027371D9"/>
    <w:rsid w:val="0276366F"/>
    <w:rsid w:val="027810F5"/>
    <w:rsid w:val="027F646E"/>
    <w:rsid w:val="028C4EAA"/>
    <w:rsid w:val="028F6D4C"/>
    <w:rsid w:val="0291553A"/>
    <w:rsid w:val="029A69A7"/>
    <w:rsid w:val="029B04E7"/>
    <w:rsid w:val="02A64DF3"/>
    <w:rsid w:val="02BB5A8C"/>
    <w:rsid w:val="02C2332C"/>
    <w:rsid w:val="02DC3F9C"/>
    <w:rsid w:val="02DC73AA"/>
    <w:rsid w:val="02E015BB"/>
    <w:rsid w:val="02F12CE4"/>
    <w:rsid w:val="03073BDC"/>
    <w:rsid w:val="030B0647"/>
    <w:rsid w:val="030C40C1"/>
    <w:rsid w:val="03151C1F"/>
    <w:rsid w:val="03206AD1"/>
    <w:rsid w:val="03362153"/>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D81DFA"/>
    <w:rsid w:val="03E358F3"/>
    <w:rsid w:val="03E84DE8"/>
    <w:rsid w:val="04030035"/>
    <w:rsid w:val="04251A4C"/>
    <w:rsid w:val="042D2E97"/>
    <w:rsid w:val="04305EA0"/>
    <w:rsid w:val="043865BF"/>
    <w:rsid w:val="044C78D8"/>
    <w:rsid w:val="04537B11"/>
    <w:rsid w:val="0457028C"/>
    <w:rsid w:val="04684A28"/>
    <w:rsid w:val="04782230"/>
    <w:rsid w:val="0479507E"/>
    <w:rsid w:val="04820023"/>
    <w:rsid w:val="04894975"/>
    <w:rsid w:val="048D1DB8"/>
    <w:rsid w:val="04B14B03"/>
    <w:rsid w:val="04B93BF5"/>
    <w:rsid w:val="04C21954"/>
    <w:rsid w:val="04DA1A87"/>
    <w:rsid w:val="04DE2DA3"/>
    <w:rsid w:val="04FF1C94"/>
    <w:rsid w:val="04FF7D5A"/>
    <w:rsid w:val="0502349F"/>
    <w:rsid w:val="050E7487"/>
    <w:rsid w:val="05110760"/>
    <w:rsid w:val="051126EC"/>
    <w:rsid w:val="05161D2D"/>
    <w:rsid w:val="0522500E"/>
    <w:rsid w:val="052E568F"/>
    <w:rsid w:val="053973F0"/>
    <w:rsid w:val="053E65E7"/>
    <w:rsid w:val="0555228E"/>
    <w:rsid w:val="055C5454"/>
    <w:rsid w:val="05770104"/>
    <w:rsid w:val="057D1D66"/>
    <w:rsid w:val="059B38E7"/>
    <w:rsid w:val="059D265F"/>
    <w:rsid w:val="05B2756C"/>
    <w:rsid w:val="05B92EC1"/>
    <w:rsid w:val="05BB5375"/>
    <w:rsid w:val="05D03328"/>
    <w:rsid w:val="05E078B3"/>
    <w:rsid w:val="0601277E"/>
    <w:rsid w:val="060C5AED"/>
    <w:rsid w:val="060E0E99"/>
    <w:rsid w:val="06103146"/>
    <w:rsid w:val="06172561"/>
    <w:rsid w:val="06190837"/>
    <w:rsid w:val="061E54DA"/>
    <w:rsid w:val="061E5E22"/>
    <w:rsid w:val="06212672"/>
    <w:rsid w:val="06460B91"/>
    <w:rsid w:val="0654187C"/>
    <w:rsid w:val="065475DE"/>
    <w:rsid w:val="065D586C"/>
    <w:rsid w:val="06725291"/>
    <w:rsid w:val="06760DBE"/>
    <w:rsid w:val="06774B7B"/>
    <w:rsid w:val="067C28D6"/>
    <w:rsid w:val="068E06BC"/>
    <w:rsid w:val="069201CB"/>
    <w:rsid w:val="06A03E91"/>
    <w:rsid w:val="06A27E98"/>
    <w:rsid w:val="06AB7C30"/>
    <w:rsid w:val="06B741D9"/>
    <w:rsid w:val="06C457B6"/>
    <w:rsid w:val="06C55827"/>
    <w:rsid w:val="06CD4A70"/>
    <w:rsid w:val="06DF4C13"/>
    <w:rsid w:val="06E7678C"/>
    <w:rsid w:val="06EC4A95"/>
    <w:rsid w:val="06F42A88"/>
    <w:rsid w:val="06F801C0"/>
    <w:rsid w:val="06F90600"/>
    <w:rsid w:val="06FB38AA"/>
    <w:rsid w:val="070576B4"/>
    <w:rsid w:val="071C13A8"/>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41060"/>
    <w:rsid w:val="084E1401"/>
    <w:rsid w:val="085C7468"/>
    <w:rsid w:val="086F6B40"/>
    <w:rsid w:val="08787FF0"/>
    <w:rsid w:val="0889002B"/>
    <w:rsid w:val="088E1335"/>
    <w:rsid w:val="08A44DA6"/>
    <w:rsid w:val="08AA245A"/>
    <w:rsid w:val="08BA6E24"/>
    <w:rsid w:val="08C562FD"/>
    <w:rsid w:val="08CA27B1"/>
    <w:rsid w:val="08E916DF"/>
    <w:rsid w:val="08FC0AA5"/>
    <w:rsid w:val="090165D1"/>
    <w:rsid w:val="09066782"/>
    <w:rsid w:val="09127E2C"/>
    <w:rsid w:val="09306537"/>
    <w:rsid w:val="09355076"/>
    <w:rsid w:val="09392119"/>
    <w:rsid w:val="09445E95"/>
    <w:rsid w:val="09543B3B"/>
    <w:rsid w:val="09600FBD"/>
    <w:rsid w:val="096D5B06"/>
    <w:rsid w:val="096D61EB"/>
    <w:rsid w:val="096F346B"/>
    <w:rsid w:val="098143BC"/>
    <w:rsid w:val="09B236ED"/>
    <w:rsid w:val="09B3627A"/>
    <w:rsid w:val="09BD407A"/>
    <w:rsid w:val="09DA0E26"/>
    <w:rsid w:val="09E55691"/>
    <w:rsid w:val="09F50235"/>
    <w:rsid w:val="09F67CD5"/>
    <w:rsid w:val="0A0835C8"/>
    <w:rsid w:val="0A117603"/>
    <w:rsid w:val="0A145721"/>
    <w:rsid w:val="0A1F5AD1"/>
    <w:rsid w:val="0A250861"/>
    <w:rsid w:val="0A3708FF"/>
    <w:rsid w:val="0A376B34"/>
    <w:rsid w:val="0A3A5FEA"/>
    <w:rsid w:val="0A3B01F9"/>
    <w:rsid w:val="0A3F0488"/>
    <w:rsid w:val="0A3F2600"/>
    <w:rsid w:val="0A402A36"/>
    <w:rsid w:val="0A4E6531"/>
    <w:rsid w:val="0A646846"/>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713F4"/>
    <w:rsid w:val="0B3A611B"/>
    <w:rsid w:val="0B3D701F"/>
    <w:rsid w:val="0B3E7DD7"/>
    <w:rsid w:val="0B473865"/>
    <w:rsid w:val="0B514A22"/>
    <w:rsid w:val="0B561995"/>
    <w:rsid w:val="0B5C2C2A"/>
    <w:rsid w:val="0B665E0A"/>
    <w:rsid w:val="0B6A2D95"/>
    <w:rsid w:val="0B7B7DE4"/>
    <w:rsid w:val="0B8436DD"/>
    <w:rsid w:val="0B847B39"/>
    <w:rsid w:val="0B9E71DF"/>
    <w:rsid w:val="0BB524B8"/>
    <w:rsid w:val="0BC22C8E"/>
    <w:rsid w:val="0BC57BE3"/>
    <w:rsid w:val="0BC63DB2"/>
    <w:rsid w:val="0BCC4043"/>
    <w:rsid w:val="0BCC4B6A"/>
    <w:rsid w:val="0BEB51A2"/>
    <w:rsid w:val="0BFF2578"/>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C22CB"/>
    <w:rsid w:val="0D3F09CA"/>
    <w:rsid w:val="0D4B44A1"/>
    <w:rsid w:val="0D5A3E80"/>
    <w:rsid w:val="0D6E2620"/>
    <w:rsid w:val="0D704E21"/>
    <w:rsid w:val="0D7F48FE"/>
    <w:rsid w:val="0D883C88"/>
    <w:rsid w:val="0D92310D"/>
    <w:rsid w:val="0D960D3E"/>
    <w:rsid w:val="0D966BF7"/>
    <w:rsid w:val="0DB76690"/>
    <w:rsid w:val="0DCC3AE8"/>
    <w:rsid w:val="0DCE1532"/>
    <w:rsid w:val="0DD87842"/>
    <w:rsid w:val="0DF202E1"/>
    <w:rsid w:val="0DF53CE3"/>
    <w:rsid w:val="0E0961C5"/>
    <w:rsid w:val="0E131C69"/>
    <w:rsid w:val="0E147898"/>
    <w:rsid w:val="0E273C25"/>
    <w:rsid w:val="0E2F216B"/>
    <w:rsid w:val="0E3352C6"/>
    <w:rsid w:val="0E336502"/>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337178"/>
    <w:rsid w:val="0F3A1695"/>
    <w:rsid w:val="0F41022A"/>
    <w:rsid w:val="0F575BC9"/>
    <w:rsid w:val="0F60682C"/>
    <w:rsid w:val="0F6763D9"/>
    <w:rsid w:val="0F715B2B"/>
    <w:rsid w:val="0F764270"/>
    <w:rsid w:val="0F7F273F"/>
    <w:rsid w:val="0F8418ED"/>
    <w:rsid w:val="0F957B47"/>
    <w:rsid w:val="0F98796C"/>
    <w:rsid w:val="0F9F6FA4"/>
    <w:rsid w:val="0FA65D5C"/>
    <w:rsid w:val="0FAD33DA"/>
    <w:rsid w:val="0FB76F26"/>
    <w:rsid w:val="0FBE2A42"/>
    <w:rsid w:val="0FC17CCE"/>
    <w:rsid w:val="0FC424B9"/>
    <w:rsid w:val="0FD70565"/>
    <w:rsid w:val="0FEC680C"/>
    <w:rsid w:val="0FFD5040"/>
    <w:rsid w:val="10007AD6"/>
    <w:rsid w:val="100E19D0"/>
    <w:rsid w:val="101C4A03"/>
    <w:rsid w:val="101D0C86"/>
    <w:rsid w:val="101D4F1D"/>
    <w:rsid w:val="10240BF3"/>
    <w:rsid w:val="104A023B"/>
    <w:rsid w:val="10505F3B"/>
    <w:rsid w:val="105523FF"/>
    <w:rsid w:val="106D2686"/>
    <w:rsid w:val="106F0E5F"/>
    <w:rsid w:val="107C3E2C"/>
    <w:rsid w:val="107D41AE"/>
    <w:rsid w:val="108C2479"/>
    <w:rsid w:val="109A6911"/>
    <w:rsid w:val="10A81377"/>
    <w:rsid w:val="10B80E65"/>
    <w:rsid w:val="10C02B10"/>
    <w:rsid w:val="10C715C5"/>
    <w:rsid w:val="10C71C75"/>
    <w:rsid w:val="10D335EF"/>
    <w:rsid w:val="10E746EA"/>
    <w:rsid w:val="10E83FE0"/>
    <w:rsid w:val="10EC3168"/>
    <w:rsid w:val="10F52718"/>
    <w:rsid w:val="110E6D34"/>
    <w:rsid w:val="1116627D"/>
    <w:rsid w:val="112E3E1C"/>
    <w:rsid w:val="112F02E7"/>
    <w:rsid w:val="114028DC"/>
    <w:rsid w:val="116F1EB0"/>
    <w:rsid w:val="11765ED8"/>
    <w:rsid w:val="117B1D6A"/>
    <w:rsid w:val="117C2D9D"/>
    <w:rsid w:val="117F159E"/>
    <w:rsid w:val="11821DC9"/>
    <w:rsid w:val="118273C5"/>
    <w:rsid w:val="11921373"/>
    <w:rsid w:val="119C45DF"/>
    <w:rsid w:val="119D7849"/>
    <w:rsid w:val="11A61449"/>
    <w:rsid w:val="11C67B8F"/>
    <w:rsid w:val="11DD31CB"/>
    <w:rsid w:val="11E57D4F"/>
    <w:rsid w:val="11F92DAB"/>
    <w:rsid w:val="11FC38D5"/>
    <w:rsid w:val="12023EB9"/>
    <w:rsid w:val="12035CB0"/>
    <w:rsid w:val="1210682D"/>
    <w:rsid w:val="121563D9"/>
    <w:rsid w:val="122449D0"/>
    <w:rsid w:val="12286C59"/>
    <w:rsid w:val="122C5C28"/>
    <w:rsid w:val="123800F8"/>
    <w:rsid w:val="123A05DB"/>
    <w:rsid w:val="124240B9"/>
    <w:rsid w:val="125A117D"/>
    <w:rsid w:val="12680E73"/>
    <w:rsid w:val="127701EE"/>
    <w:rsid w:val="127E5AA6"/>
    <w:rsid w:val="128071C7"/>
    <w:rsid w:val="12893E38"/>
    <w:rsid w:val="128B2749"/>
    <w:rsid w:val="129811DB"/>
    <w:rsid w:val="12AB7A32"/>
    <w:rsid w:val="12B465F3"/>
    <w:rsid w:val="12BB6535"/>
    <w:rsid w:val="12C54464"/>
    <w:rsid w:val="12C7312B"/>
    <w:rsid w:val="12D14417"/>
    <w:rsid w:val="12D22971"/>
    <w:rsid w:val="12D85654"/>
    <w:rsid w:val="12EE5106"/>
    <w:rsid w:val="13024DF8"/>
    <w:rsid w:val="1307341C"/>
    <w:rsid w:val="130E3629"/>
    <w:rsid w:val="13136909"/>
    <w:rsid w:val="131B39DD"/>
    <w:rsid w:val="13246C2D"/>
    <w:rsid w:val="13283BA4"/>
    <w:rsid w:val="13332F77"/>
    <w:rsid w:val="13334E1C"/>
    <w:rsid w:val="13346EE4"/>
    <w:rsid w:val="13384952"/>
    <w:rsid w:val="1355107F"/>
    <w:rsid w:val="135D4D2E"/>
    <w:rsid w:val="1361635E"/>
    <w:rsid w:val="1366638D"/>
    <w:rsid w:val="136D76E8"/>
    <w:rsid w:val="137266E0"/>
    <w:rsid w:val="13AA5FA1"/>
    <w:rsid w:val="13AC530B"/>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A1DD6"/>
    <w:rsid w:val="1459355A"/>
    <w:rsid w:val="145F07C7"/>
    <w:rsid w:val="14691748"/>
    <w:rsid w:val="146C5189"/>
    <w:rsid w:val="14816B50"/>
    <w:rsid w:val="148313F4"/>
    <w:rsid w:val="14934F1A"/>
    <w:rsid w:val="149559C4"/>
    <w:rsid w:val="14A759A3"/>
    <w:rsid w:val="14AC0C32"/>
    <w:rsid w:val="14C45576"/>
    <w:rsid w:val="14C76D6C"/>
    <w:rsid w:val="14DA3DA1"/>
    <w:rsid w:val="14E60B42"/>
    <w:rsid w:val="14EA1C4D"/>
    <w:rsid w:val="14ED662C"/>
    <w:rsid w:val="14F447EE"/>
    <w:rsid w:val="1515004B"/>
    <w:rsid w:val="15207BBA"/>
    <w:rsid w:val="152F4E1B"/>
    <w:rsid w:val="154D342A"/>
    <w:rsid w:val="15504F07"/>
    <w:rsid w:val="1559587F"/>
    <w:rsid w:val="1574662E"/>
    <w:rsid w:val="15751882"/>
    <w:rsid w:val="1575191B"/>
    <w:rsid w:val="157818C6"/>
    <w:rsid w:val="159F73BB"/>
    <w:rsid w:val="15B03F28"/>
    <w:rsid w:val="15C75E02"/>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5007ED"/>
    <w:rsid w:val="17536547"/>
    <w:rsid w:val="175A036D"/>
    <w:rsid w:val="176B45C6"/>
    <w:rsid w:val="176C447F"/>
    <w:rsid w:val="17761009"/>
    <w:rsid w:val="17875303"/>
    <w:rsid w:val="1793626E"/>
    <w:rsid w:val="17955916"/>
    <w:rsid w:val="17A875F5"/>
    <w:rsid w:val="17B92501"/>
    <w:rsid w:val="17E66DD8"/>
    <w:rsid w:val="17E677E9"/>
    <w:rsid w:val="17E84839"/>
    <w:rsid w:val="17EE1403"/>
    <w:rsid w:val="17F25234"/>
    <w:rsid w:val="17FD061B"/>
    <w:rsid w:val="17FF6314"/>
    <w:rsid w:val="18005F41"/>
    <w:rsid w:val="18025414"/>
    <w:rsid w:val="180C6085"/>
    <w:rsid w:val="18171305"/>
    <w:rsid w:val="18334194"/>
    <w:rsid w:val="183E1D37"/>
    <w:rsid w:val="184D0787"/>
    <w:rsid w:val="18544ABD"/>
    <w:rsid w:val="185D1883"/>
    <w:rsid w:val="18615557"/>
    <w:rsid w:val="18702224"/>
    <w:rsid w:val="18812331"/>
    <w:rsid w:val="18816F1C"/>
    <w:rsid w:val="18853F3E"/>
    <w:rsid w:val="18956393"/>
    <w:rsid w:val="18A8582C"/>
    <w:rsid w:val="18B50543"/>
    <w:rsid w:val="18CD7A02"/>
    <w:rsid w:val="18DC65B5"/>
    <w:rsid w:val="18F621ED"/>
    <w:rsid w:val="19001FFC"/>
    <w:rsid w:val="19055892"/>
    <w:rsid w:val="190E2B4A"/>
    <w:rsid w:val="19256D7A"/>
    <w:rsid w:val="193275C2"/>
    <w:rsid w:val="19394FD2"/>
    <w:rsid w:val="193E37E1"/>
    <w:rsid w:val="195B59A7"/>
    <w:rsid w:val="195F3A6C"/>
    <w:rsid w:val="19663168"/>
    <w:rsid w:val="19767855"/>
    <w:rsid w:val="19786B0A"/>
    <w:rsid w:val="198B64F6"/>
    <w:rsid w:val="199A2059"/>
    <w:rsid w:val="19B46E10"/>
    <w:rsid w:val="19C456C1"/>
    <w:rsid w:val="19C64218"/>
    <w:rsid w:val="19F061A1"/>
    <w:rsid w:val="1A020598"/>
    <w:rsid w:val="1A054259"/>
    <w:rsid w:val="1A081816"/>
    <w:rsid w:val="1A100136"/>
    <w:rsid w:val="1A165171"/>
    <w:rsid w:val="1A244E0C"/>
    <w:rsid w:val="1A2729ED"/>
    <w:rsid w:val="1A37660E"/>
    <w:rsid w:val="1A4858FF"/>
    <w:rsid w:val="1A4A782D"/>
    <w:rsid w:val="1A4C698A"/>
    <w:rsid w:val="1A555BBE"/>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1F3892"/>
    <w:rsid w:val="1B2160BB"/>
    <w:rsid w:val="1B3637AD"/>
    <w:rsid w:val="1B3E0DB5"/>
    <w:rsid w:val="1B454C94"/>
    <w:rsid w:val="1B5258E6"/>
    <w:rsid w:val="1B6415FF"/>
    <w:rsid w:val="1B6C0DF0"/>
    <w:rsid w:val="1B76379D"/>
    <w:rsid w:val="1B7F6005"/>
    <w:rsid w:val="1B9C269A"/>
    <w:rsid w:val="1B9E64C5"/>
    <w:rsid w:val="1BBE493C"/>
    <w:rsid w:val="1BC01115"/>
    <w:rsid w:val="1BC36606"/>
    <w:rsid w:val="1BC44015"/>
    <w:rsid w:val="1BCA6284"/>
    <w:rsid w:val="1BF006BF"/>
    <w:rsid w:val="1C013494"/>
    <w:rsid w:val="1C053414"/>
    <w:rsid w:val="1C0C6675"/>
    <w:rsid w:val="1C132CB9"/>
    <w:rsid w:val="1C273D33"/>
    <w:rsid w:val="1C4032AB"/>
    <w:rsid w:val="1C430C6D"/>
    <w:rsid w:val="1C4672ED"/>
    <w:rsid w:val="1C467AB6"/>
    <w:rsid w:val="1C5207A8"/>
    <w:rsid w:val="1C6277A9"/>
    <w:rsid w:val="1C724E93"/>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DE089A"/>
    <w:rsid w:val="1DE94164"/>
    <w:rsid w:val="1DE94821"/>
    <w:rsid w:val="1DEA459C"/>
    <w:rsid w:val="1DEE1B11"/>
    <w:rsid w:val="1E164B52"/>
    <w:rsid w:val="1E273844"/>
    <w:rsid w:val="1E2F243E"/>
    <w:rsid w:val="1E455D19"/>
    <w:rsid w:val="1E595CAF"/>
    <w:rsid w:val="1E6607F9"/>
    <w:rsid w:val="1E805396"/>
    <w:rsid w:val="1E884F62"/>
    <w:rsid w:val="1E9D6342"/>
    <w:rsid w:val="1E9D6D15"/>
    <w:rsid w:val="1EA77730"/>
    <w:rsid w:val="1EC36E9D"/>
    <w:rsid w:val="1EC533A2"/>
    <w:rsid w:val="1EE25FDD"/>
    <w:rsid w:val="1EE76CC2"/>
    <w:rsid w:val="1EEE5C69"/>
    <w:rsid w:val="1EF5103F"/>
    <w:rsid w:val="1F090F9B"/>
    <w:rsid w:val="1F0E5D6B"/>
    <w:rsid w:val="1F4E511E"/>
    <w:rsid w:val="1F4F2219"/>
    <w:rsid w:val="1F615307"/>
    <w:rsid w:val="1F721405"/>
    <w:rsid w:val="1F7D6BDA"/>
    <w:rsid w:val="1F887E80"/>
    <w:rsid w:val="1F935819"/>
    <w:rsid w:val="1FA6556D"/>
    <w:rsid w:val="1FA92D3B"/>
    <w:rsid w:val="1FAF2571"/>
    <w:rsid w:val="1FC55EDA"/>
    <w:rsid w:val="1FCE593C"/>
    <w:rsid w:val="1FD55F09"/>
    <w:rsid w:val="1FE312AC"/>
    <w:rsid w:val="1FEC5915"/>
    <w:rsid w:val="1FED32EF"/>
    <w:rsid w:val="20350C87"/>
    <w:rsid w:val="20446081"/>
    <w:rsid w:val="204852AD"/>
    <w:rsid w:val="204E6676"/>
    <w:rsid w:val="205A5AA0"/>
    <w:rsid w:val="20773A28"/>
    <w:rsid w:val="208574F4"/>
    <w:rsid w:val="208A3AF0"/>
    <w:rsid w:val="208E0979"/>
    <w:rsid w:val="208F6BAF"/>
    <w:rsid w:val="209C24BD"/>
    <w:rsid w:val="20A462BA"/>
    <w:rsid w:val="20A976E7"/>
    <w:rsid w:val="20AC7E9E"/>
    <w:rsid w:val="20BB50D0"/>
    <w:rsid w:val="20BD7502"/>
    <w:rsid w:val="20BF2AAC"/>
    <w:rsid w:val="20C849C7"/>
    <w:rsid w:val="20D07F44"/>
    <w:rsid w:val="20D765BA"/>
    <w:rsid w:val="20DB50F9"/>
    <w:rsid w:val="20DF66D2"/>
    <w:rsid w:val="20EC3F2E"/>
    <w:rsid w:val="20EC7C3E"/>
    <w:rsid w:val="210548E9"/>
    <w:rsid w:val="2107210D"/>
    <w:rsid w:val="21124D15"/>
    <w:rsid w:val="21296345"/>
    <w:rsid w:val="213E7119"/>
    <w:rsid w:val="21810744"/>
    <w:rsid w:val="218D6EF5"/>
    <w:rsid w:val="2195668B"/>
    <w:rsid w:val="21A130EA"/>
    <w:rsid w:val="21A64442"/>
    <w:rsid w:val="21B222BC"/>
    <w:rsid w:val="21BA464B"/>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54449"/>
    <w:rsid w:val="224964F9"/>
    <w:rsid w:val="22500810"/>
    <w:rsid w:val="22550F14"/>
    <w:rsid w:val="226347BD"/>
    <w:rsid w:val="22682935"/>
    <w:rsid w:val="226F564C"/>
    <w:rsid w:val="22714CE9"/>
    <w:rsid w:val="2277260F"/>
    <w:rsid w:val="227C7BE1"/>
    <w:rsid w:val="228A4698"/>
    <w:rsid w:val="228D7F55"/>
    <w:rsid w:val="22945167"/>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44B9D"/>
    <w:rsid w:val="2316334C"/>
    <w:rsid w:val="233C6F76"/>
    <w:rsid w:val="2341526C"/>
    <w:rsid w:val="234449F5"/>
    <w:rsid w:val="234A29B4"/>
    <w:rsid w:val="23536618"/>
    <w:rsid w:val="236F7F8E"/>
    <w:rsid w:val="237D3B26"/>
    <w:rsid w:val="23816932"/>
    <w:rsid w:val="238B3E55"/>
    <w:rsid w:val="23A22D26"/>
    <w:rsid w:val="23A9484E"/>
    <w:rsid w:val="23B32F98"/>
    <w:rsid w:val="23B84268"/>
    <w:rsid w:val="23D03C50"/>
    <w:rsid w:val="23D17D7B"/>
    <w:rsid w:val="23D36D91"/>
    <w:rsid w:val="23EA25D3"/>
    <w:rsid w:val="23F70BA5"/>
    <w:rsid w:val="23F93D0D"/>
    <w:rsid w:val="2405417E"/>
    <w:rsid w:val="241B5C62"/>
    <w:rsid w:val="242005F6"/>
    <w:rsid w:val="245872F9"/>
    <w:rsid w:val="245943D9"/>
    <w:rsid w:val="245D2237"/>
    <w:rsid w:val="245E6B64"/>
    <w:rsid w:val="2463385E"/>
    <w:rsid w:val="247F0848"/>
    <w:rsid w:val="248A1E01"/>
    <w:rsid w:val="24967323"/>
    <w:rsid w:val="249D5FC8"/>
    <w:rsid w:val="24A1538E"/>
    <w:rsid w:val="24AD0C80"/>
    <w:rsid w:val="24B9450F"/>
    <w:rsid w:val="24C83F94"/>
    <w:rsid w:val="24D0152F"/>
    <w:rsid w:val="24D706EC"/>
    <w:rsid w:val="24F60CDA"/>
    <w:rsid w:val="24FE1078"/>
    <w:rsid w:val="250B4793"/>
    <w:rsid w:val="250C0C1F"/>
    <w:rsid w:val="250D450C"/>
    <w:rsid w:val="25134332"/>
    <w:rsid w:val="25141A5B"/>
    <w:rsid w:val="2521546A"/>
    <w:rsid w:val="25225B0E"/>
    <w:rsid w:val="252B49E0"/>
    <w:rsid w:val="253B247A"/>
    <w:rsid w:val="25734B61"/>
    <w:rsid w:val="257F0513"/>
    <w:rsid w:val="258F6BC4"/>
    <w:rsid w:val="25975923"/>
    <w:rsid w:val="259A3D0A"/>
    <w:rsid w:val="25A95F3E"/>
    <w:rsid w:val="25BF6041"/>
    <w:rsid w:val="25C35718"/>
    <w:rsid w:val="25C61809"/>
    <w:rsid w:val="25CC7E8F"/>
    <w:rsid w:val="25CF0252"/>
    <w:rsid w:val="25D0248E"/>
    <w:rsid w:val="25D52D1D"/>
    <w:rsid w:val="25E64E1F"/>
    <w:rsid w:val="25F81D70"/>
    <w:rsid w:val="25FB5636"/>
    <w:rsid w:val="25FE58A9"/>
    <w:rsid w:val="26070462"/>
    <w:rsid w:val="260D2C45"/>
    <w:rsid w:val="261446DA"/>
    <w:rsid w:val="26197DFF"/>
    <w:rsid w:val="262E1DA8"/>
    <w:rsid w:val="262F0AD0"/>
    <w:rsid w:val="26395C92"/>
    <w:rsid w:val="26484954"/>
    <w:rsid w:val="266237C3"/>
    <w:rsid w:val="26651F80"/>
    <w:rsid w:val="267550B9"/>
    <w:rsid w:val="267A4B30"/>
    <w:rsid w:val="26C472EC"/>
    <w:rsid w:val="26D97CAE"/>
    <w:rsid w:val="26DB2F32"/>
    <w:rsid w:val="26EC491A"/>
    <w:rsid w:val="26ED73E1"/>
    <w:rsid w:val="27047832"/>
    <w:rsid w:val="27185259"/>
    <w:rsid w:val="27204B5D"/>
    <w:rsid w:val="272F31A0"/>
    <w:rsid w:val="27342901"/>
    <w:rsid w:val="27383740"/>
    <w:rsid w:val="273D2762"/>
    <w:rsid w:val="273F35F4"/>
    <w:rsid w:val="27470B72"/>
    <w:rsid w:val="27525E32"/>
    <w:rsid w:val="27541040"/>
    <w:rsid w:val="27722E60"/>
    <w:rsid w:val="277716AD"/>
    <w:rsid w:val="2778582E"/>
    <w:rsid w:val="27806765"/>
    <w:rsid w:val="279B1E53"/>
    <w:rsid w:val="27A14309"/>
    <w:rsid w:val="27AB7429"/>
    <w:rsid w:val="27B97A3A"/>
    <w:rsid w:val="27C57B2B"/>
    <w:rsid w:val="27C8029E"/>
    <w:rsid w:val="27CC78AC"/>
    <w:rsid w:val="27CE1EA1"/>
    <w:rsid w:val="27D5047E"/>
    <w:rsid w:val="27DD45ED"/>
    <w:rsid w:val="27E27828"/>
    <w:rsid w:val="27E3651B"/>
    <w:rsid w:val="27EC25E3"/>
    <w:rsid w:val="27ED0939"/>
    <w:rsid w:val="27F1498B"/>
    <w:rsid w:val="27FD624E"/>
    <w:rsid w:val="28027A71"/>
    <w:rsid w:val="281F4F67"/>
    <w:rsid w:val="283744B4"/>
    <w:rsid w:val="28485D62"/>
    <w:rsid w:val="285560D7"/>
    <w:rsid w:val="28760CA0"/>
    <w:rsid w:val="288A05DD"/>
    <w:rsid w:val="28937D89"/>
    <w:rsid w:val="28C96C14"/>
    <w:rsid w:val="28E138E3"/>
    <w:rsid w:val="28E25FF0"/>
    <w:rsid w:val="28E74216"/>
    <w:rsid w:val="28E87EE4"/>
    <w:rsid w:val="28FC4395"/>
    <w:rsid w:val="2900094D"/>
    <w:rsid w:val="2903396A"/>
    <w:rsid w:val="290A3B15"/>
    <w:rsid w:val="29212936"/>
    <w:rsid w:val="294E766A"/>
    <w:rsid w:val="294F506D"/>
    <w:rsid w:val="295F09EE"/>
    <w:rsid w:val="2978319A"/>
    <w:rsid w:val="297A3E18"/>
    <w:rsid w:val="29A3014B"/>
    <w:rsid w:val="29A74CBD"/>
    <w:rsid w:val="29B01C34"/>
    <w:rsid w:val="29B16357"/>
    <w:rsid w:val="29BA0D88"/>
    <w:rsid w:val="29CF32B2"/>
    <w:rsid w:val="29DE15A2"/>
    <w:rsid w:val="29EF3680"/>
    <w:rsid w:val="29EF424E"/>
    <w:rsid w:val="29F93F5E"/>
    <w:rsid w:val="29FA7F26"/>
    <w:rsid w:val="29FD07C3"/>
    <w:rsid w:val="2A23469B"/>
    <w:rsid w:val="2A35650F"/>
    <w:rsid w:val="2A405845"/>
    <w:rsid w:val="2A4D593F"/>
    <w:rsid w:val="2A5645FE"/>
    <w:rsid w:val="2A6920F5"/>
    <w:rsid w:val="2A6E31F8"/>
    <w:rsid w:val="2A8A2F9C"/>
    <w:rsid w:val="2A9A0A02"/>
    <w:rsid w:val="2AA077A9"/>
    <w:rsid w:val="2AA95326"/>
    <w:rsid w:val="2AAC5A06"/>
    <w:rsid w:val="2ABB3D6F"/>
    <w:rsid w:val="2ABD3295"/>
    <w:rsid w:val="2AC70B30"/>
    <w:rsid w:val="2ACC2AAF"/>
    <w:rsid w:val="2AD74744"/>
    <w:rsid w:val="2AD91AC2"/>
    <w:rsid w:val="2AE57C95"/>
    <w:rsid w:val="2AF35C8B"/>
    <w:rsid w:val="2AFC7C8A"/>
    <w:rsid w:val="2B011AE9"/>
    <w:rsid w:val="2B0279D1"/>
    <w:rsid w:val="2B132265"/>
    <w:rsid w:val="2B1D1F04"/>
    <w:rsid w:val="2B214776"/>
    <w:rsid w:val="2B2843BE"/>
    <w:rsid w:val="2B313FC1"/>
    <w:rsid w:val="2B347C14"/>
    <w:rsid w:val="2B39348E"/>
    <w:rsid w:val="2B437285"/>
    <w:rsid w:val="2B4D695C"/>
    <w:rsid w:val="2B514803"/>
    <w:rsid w:val="2B637D4B"/>
    <w:rsid w:val="2B6B1684"/>
    <w:rsid w:val="2B7B70BF"/>
    <w:rsid w:val="2B817E3F"/>
    <w:rsid w:val="2B8B422C"/>
    <w:rsid w:val="2BA07D38"/>
    <w:rsid w:val="2BB960F0"/>
    <w:rsid w:val="2BC40957"/>
    <w:rsid w:val="2BCB5DAA"/>
    <w:rsid w:val="2BF369B9"/>
    <w:rsid w:val="2BFC0A4A"/>
    <w:rsid w:val="2C094904"/>
    <w:rsid w:val="2C0E55A1"/>
    <w:rsid w:val="2C2E7508"/>
    <w:rsid w:val="2C3658B0"/>
    <w:rsid w:val="2C3A7BF6"/>
    <w:rsid w:val="2C3C6E9F"/>
    <w:rsid w:val="2C425BCE"/>
    <w:rsid w:val="2C44676A"/>
    <w:rsid w:val="2C4605C2"/>
    <w:rsid w:val="2C4A080C"/>
    <w:rsid w:val="2C54533B"/>
    <w:rsid w:val="2C591378"/>
    <w:rsid w:val="2C733DF1"/>
    <w:rsid w:val="2C761D49"/>
    <w:rsid w:val="2C8F4862"/>
    <w:rsid w:val="2C9E5AC8"/>
    <w:rsid w:val="2CA2721B"/>
    <w:rsid w:val="2CB600FC"/>
    <w:rsid w:val="2CBB7F8F"/>
    <w:rsid w:val="2D026315"/>
    <w:rsid w:val="2D0764BD"/>
    <w:rsid w:val="2D0B3169"/>
    <w:rsid w:val="2D0D4219"/>
    <w:rsid w:val="2D1F2D4D"/>
    <w:rsid w:val="2D254C1E"/>
    <w:rsid w:val="2D2D2DE2"/>
    <w:rsid w:val="2D340E86"/>
    <w:rsid w:val="2D395427"/>
    <w:rsid w:val="2D3D0E02"/>
    <w:rsid w:val="2D3D5AFF"/>
    <w:rsid w:val="2D495609"/>
    <w:rsid w:val="2D5372BC"/>
    <w:rsid w:val="2D5839DB"/>
    <w:rsid w:val="2D62469E"/>
    <w:rsid w:val="2D690F6A"/>
    <w:rsid w:val="2D6B40A9"/>
    <w:rsid w:val="2D765922"/>
    <w:rsid w:val="2D892023"/>
    <w:rsid w:val="2D8A3FA2"/>
    <w:rsid w:val="2D925609"/>
    <w:rsid w:val="2D9767DC"/>
    <w:rsid w:val="2D980DDC"/>
    <w:rsid w:val="2D987372"/>
    <w:rsid w:val="2DC2086B"/>
    <w:rsid w:val="2DC35F89"/>
    <w:rsid w:val="2DCE26BE"/>
    <w:rsid w:val="2DCE5F69"/>
    <w:rsid w:val="2DD755E4"/>
    <w:rsid w:val="2DDD4F0A"/>
    <w:rsid w:val="2DF37ABF"/>
    <w:rsid w:val="2DF95234"/>
    <w:rsid w:val="2E170B60"/>
    <w:rsid w:val="2E34792A"/>
    <w:rsid w:val="2E437E73"/>
    <w:rsid w:val="2E4F0E88"/>
    <w:rsid w:val="2E5034DC"/>
    <w:rsid w:val="2E572AB9"/>
    <w:rsid w:val="2E58199C"/>
    <w:rsid w:val="2E7258DC"/>
    <w:rsid w:val="2E79458E"/>
    <w:rsid w:val="2E797A78"/>
    <w:rsid w:val="2E7C6A94"/>
    <w:rsid w:val="2E8321A5"/>
    <w:rsid w:val="2E8A404A"/>
    <w:rsid w:val="2E9F6D95"/>
    <w:rsid w:val="2EAE350B"/>
    <w:rsid w:val="2EB20A6C"/>
    <w:rsid w:val="2EBC2287"/>
    <w:rsid w:val="2EC86A5D"/>
    <w:rsid w:val="2ECA3116"/>
    <w:rsid w:val="2ED2618A"/>
    <w:rsid w:val="2EDD7896"/>
    <w:rsid w:val="2EEA6E65"/>
    <w:rsid w:val="2EFA17E9"/>
    <w:rsid w:val="2F00052B"/>
    <w:rsid w:val="2F0367CD"/>
    <w:rsid w:val="2F1251F2"/>
    <w:rsid w:val="2F377F11"/>
    <w:rsid w:val="2F484C94"/>
    <w:rsid w:val="2F4D49C0"/>
    <w:rsid w:val="2F4F6FBB"/>
    <w:rsid w:val="2F5E5B1E"/>
    <w:rsid w:val="2F664E2B"/>
    <w:rsid w:val="2F6760D2"/>
    <w:rsid w:val="2F6C7BE3"/>
    <w:rsid w:val="2F783485"/>
    <w:rsid w:val="2F7F5C0B"/>
    <w:rsid w:val="2FA6492D"/>
    <w:rsid w:val="2FBA5EC5"/>
    <w:rsid w:val="2FC972D2"/>
    <w:rsid w:val="2FD71CA4"/>
    <w:rsid w:val="2FDC6CBD"/>
    <w:rsid w:val="2FF52C26"/>
    <w:rsid w:val="2FF93066"/>
    <w:rsid w:val="301103CD"/>
    <w:rsid w:val="30130869"/>
    <w:rsid w:val="301A6FA0"/>
    <w:rsid w:val="301A71CE"/>
    <w:rsid w:val="301E049B"/>
    <w:rsid w:val="302A4BE6"/>
    <w:rsid w:val="302A7648"/>
    <w:rsid w:val="302B1223"/>
    <w:rsid w:val="30307691"/>
    <w:rsid w:val="303867AA"/>
    <w:rsid w:val="304478EC"/>
    <w:rsid w:val="30477603"/>
    <w:rsid w:val="304917D1"/>
    <w:rsid w:val="30761B12"/>
    <w:rsid w:val="30916BB1"/>
    <w:rsid w:val="30920D06"/>
    <w:rsid w:val="30962F3E"/>
    <w:rsid w:val="30AA2585"/>
    <w:rsid w:val="30C16A19"/>
    <w:rsid w:val="30CA4DB3"/>
    <w:rsid w:val="30D32236"/>
    <w:rsid w:val="30FA7530"/>
    <w:rsid w:val="30FF2795"/>
    <w:rsid w:val="310375CD"/>
    <w:rsid w:val="311611B3"/>
    <w:rsid w:val="313C313D"/>
    <w:rsid w:val="31481E6B"/>
    <w:rsid w:val="314E236F"/>
    <w:rsid w:val="315E0B07"/>
    <w:rsid w:val="31614403"/>
    <w:rsid w:val="31621F46"/>
    <w:rsid w:val="316E7CA0"/>
    <w:rsid w:val="317206BF"/>
    <w:rsid w:val="317932EA"/>
    <w:rsid w:val="317E5000"/>
    <w:rsid w:val="318F5393"/>
    <w:rsid w:val="31B718F2"/>
    <w:rsid w:val="31BD323E"/>
    <w:rsid w:val="31D20051"/>
    <w:rsid w:val="31EF7EE8"/>
    <w:rsid w:val="3201404F"/>
    <w:rsid w:val="320901F5"/>
    <w:rsid w:val="320B7CCB"/>
    <w:rsid w:val="32105DE8"/>
    <w:rsid w:val="3235187E"/>
    <w:rsid w:val="3237186B"/>
    <w:rsid w:val="323B6798"/>
    <w:rsid w:val="323D5A9C"/>
    <w:rsid w:val="32454376"/>
    <w:rsid w:val="32466B7E"/>
    <w:rsid w:val="32537B57"/>
    <w:rsid w:val="325F618E"/>
    <w:rsid w:val="326A40B9"/>
    <w:rsid w:val="326B2DFA"/>
    <w:rsid w:val="326E5B28"/>
    <w:rsid w:val="32757E99"/>
    <w:rsid w:val="328F5534"/>
    <w:rsid w:val="32910B8E"/>
    <w:rsid w:val="329234AC"/>
    <w:rsid w:val="3295408B"/>
    <w:rsid w:val="329A6ACE"/>
    <w:rsid w:val="329B0193"/>
    <w:rsid w:val="32A230DB"/>
    <w:rsid w:val="32DF351E"/>
    <w:rsid w:val="32EE5E41"/>
    <w:rsid w:val="32F37DFC"/>
    <w:rsid w:val="32F40F87"/>
    <w:rsid w:val="32FD7C76"/>
    <w:rsid w:val="330246BF"/>
    <w:rsid w:val="330C22FC"/>
    <w:rsid w:val="33247878"/>
    <w:rsid w:val="334B62AD"/>
    <w:rsid w:val="33540E5D"/>
    <w:rsid w:val="335A0521"/>
    <w:rsid w:val="335E7B11"/>
    <w:rsid w:val="3364318B"/>
    <w:rsid w:val="33691888"/>
    <w:rsid w:val="336A499A"/>
    <w:rsid w:val="33714830"/>
    <w:rsid w:val="33737F51"/>
    <w:rsid w:val="337964FF"/>
    <w:rsid w:val="337D34FB"/>
    <w:rsid w:val="338A0D6A"/>
    <w:rsid w:val="3391740A"/>
    <w:rsid w:val="33BF4199"/>
    <w:rsid w:val="33D151B9"/>
    <w:rsid w:val="33F03D18"/>
    <w:rsid w:val="33FE62E7"/>
    <w:rsid w:val="340D25F6"/>
    <w:rsid w:val="34172EFD"/>
    <w:rsid w:val="34204EC0"/>
    <w:rsid w:val="342B76C7"/>
    <w:rsid w:val="342F2BD8"/>
    <w:rsid w:val="343A1527"/>
    <w:rsid w:val="343C69D1"/>
    <w:rsid w:val="34447898"/>
    <w:rsid w:val="344E62FA"/>
    <w:rsid w:val="3472234D"/>
    <w:rsid w:val="347D500F"/>
    <w:rsid w:val="34830157"/>
    <w:rsid w:val="34872D27"/>
    <w:rsid w:val="349164BD"/>
    <w:rsid w:val="34BD02AE"/>
    <w:rsid w:val="34D949FE"/>
    <w:rsid w:val="34DA26A8"/>
    <w:rsid w:val="34E43AD1"/>
    <w:rsid w:val="34E960F1"/>
    <w:rsid w:val="34ED6696"/>
    <w:rsid w:val="350B42D5"/>
    <w:rsid w:val="350F6258"/>
    <w:rsid w:val="351A603C"/>
    <w:rsid w:val="352821F6"/>
    <w:rsid w:val="35387F19"/>
    <w:rsid w:val="3539550B"/>
    <w:rsid w:val="353A1CA5"/>
    <w:rsid w:val="353C7CFC"/>
    <w:rsid w:val="356678B4"/>
    <w:rsid w:val="3573649F"/>
    <w:rsid w:val="3576495A"/>
    <w:rsid w:val="357E4B0A"/>
    <w:rsid w:val="35866D7F"/>
    <w:rsid w:val="358F6BDF"/>
    <w:rsid w:val="35A26D98"/>
    <w:rsid w:val="35C06D50"/>
    <w:rsid w:val="35D24294"/>
    <w:rsid w:val="35FF6F3C"/>
    <w:rsid w:val="36013D27"/>
    <w:rsid w:val="36075F27"/>
    <w:rsid w:val="36121506"/>
    <w:rsid w:val="361D7A43"/>
    <w:rsid w:val="361F3323"/>
    <w:rsid w:val="36402EFA"/>
    <w:rsid w:val="364271C9"/>
    <w:rsid w:val="36496A51"/>
    <w:rsid w:val="365623F6"/>
    <w:rsid w:val="36670090"/>
    <w:rsid w:val="366D70A8"/>
    <w:rsid w:val="368230C6"/>
    <w:rsid w:val="368F7E4F"/>
    <w:rsid w:val="36985297"/>
    <w:rsid w:val="369F633B"/>
    <w:rsid w:val="36A30FDB"/>
    <w:rsid w:val="36A43772"/>
    <w:rsid w:val="36A7007C"/>
    <w:rsid w:val="36B24AE8"/>
    <w:rsid w:val="36BD0DC4"/>
    <w:rsid w:val="36C621CD"/>
    <w:rsid w:val="36D51D00"/>
    <w:rsid w:val="36D66B5E"/>
    <w:rsid w:val="36E9254D"/>
    <w:rsid w:val="36E93760"/>
    <w:rsid w:val="36FB4305"/>
    <w:rsid w:val="3708597F"/>
    <w:rsid w:val="37096815"/>
    <w:rsid w:val="370F7060"/>
    <w:rsid w:val="37134801"/>
    <w:rsid w:val="37150C16"/>
    <w:rsid w:val="37173233"/>
    <w:rsid w:val="3718573B"/>
    <w:rsid w:val="37226558"/>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902FC"/>
    <w:rsid w:val="381F218D"/>
    <w:rsid w:val="382B1BDF"/>
    <w:rsid w:val="382E392C"/>
    <w:rsid w:val="383024D3"/>
    <w:rsid w:val="38342E90"/>
    <w:rsid w:val="38386947"/>
    <w:rsid w:val="38402F80"/>
    <w:rsid w:val="384A24FB"/>
    <w:rsid w:val="384B7332"/>
    <w:rsid w:val="385056AF"/>
    <w:rsid w:val="38706DCB"/>
    <w:rsid w:val="388157C6"/>
    <w:rsid w:val="388E5848"/>
    <w:rsid w:val="389863EC"/>
    <w:rsid w:val="38A94D18"/>
    <w:rsid w:val="38BC3ED0"/>
    <w:rsid w:val="38BD31EE"/>
    <w:rsid w:val="38CB3BDF"/>
    <w:rsid w:val="38D33D29"/>
    <w:rsid w:val="38DC3EDC"/>
    <w:rsid w:val="38E36442"/>
    <w:rsid w:val="38E40A5B"/>
    <w:rsid w:val="39285D57"/>
    <w:rsid w:val="39372A0B"/>
    <w:rsid w:val="394B6470"/>
    <w:rsid w:val="3953321D"/>
    <w:rsid w:val="3965665D"/>
    <w:rsid w:val="39860592"/>
    <w:rsid w:val="39872512"/>
    <w:rsid w:val="39931A05"/>
    <w:rsid w:val="39A2099B"/>
    <w:rsid w:val="39A602F9"/>
    <w:rsid w:val="39BD45C8"/>
    <w:rsid w:val="39C2316A"/>
    <w:rsid w:val="39D7513A"/>
    <w:rsid w:val="39DE0CD3"/>
    <w:rsid w:val="39F36281"/>
    <w:rsid w:val="39F537D5"/>
    <w:rsid w:val="39F56CC2"/>
    <w:rsid w:val="39FD376D"/>
    <w:rsid w:val="39FD6C9C"/>
    <w:rsid w:val="39FF6B36"/>
    <w:rsid w:val="3A0224B9"/>
    <w:rsid w:val="3A071002"/>
    <w:rsid w:val="3A156E39"/>
    <w:rsid w:val="3A16794C"/>
    <w:rsid w:val="3A226969"/>
    <w:rsid w:val="3A3F47CE"/>
    <w:rsid w:val="3A4E1C5D"/>
    <w:rsid w:val="3A523735"/>
    <w:rsid w:val="3A557AE4"/>
    <w:rsid w:val="3A685AA2"/>
    <w:rsid w:val="3A6B0F84"/>
    <w:rsid w:val="3A727435"/>
    <w:rsid w:val="3A94055A"/>
    <w:rsid w:val="3AB877A2"/>
    <w:rsid w:val="3ABE7E6D"/>
    <w:rsid w:val="3AC17E3A"/>
    <w:rsid w:val="3AC71C01"/>
    <w:rsid w:val="3ACB5746"/>
    <w:rsid w:val="3ADD2B05"/>
    <w:rsid w:val="3AE417E3"/>
    <w:rsid w:val="3AE440AF"/>
    <w:rsid w:val="3AF7667E"/>
    <w:rsid w:val="3AFE5DD5"/>
    <w:rsid w:val="3B032215"/>
    <w:rsid w:val="3B113F51"/>
    <w:rsid w:val="3B185809"/>
    <w:rsid w:val="3B2C21C1"/>
    <w:rsid w:val="3B307112"/>
    <w:rsid w:val="3B540533"/>
    <w:rsid w:val="3B5A2A22"/>
    <w:rsid w:val="3B70246F"/>
    <w:rsid w:val="3B7804A3"/>
    <w:rsid w:val="3B8E2153"/>
    <w:rsid w:val="3BA03B83"/>
    <w:rsid w:val="3BB20883"/>
    <w:rsid w:val="3BC34E75"/>
    <w:rsid w:val="3BCB270F"/>
    <w:rsid w:val="3BCF7E47"/>
    <w:rsid w:val="3BD96AA6"/>
    <w:rsid w:val="3BE940D8"/>
    <w:rsid w:val="3C0429BF"/>
    <w:rsid w:val="3C1A201A"/>
    <w:rsid w:val="3C371D4B"/>
    <w:rsid w:val="3C3B4B9D"/>
    <w:rsid w:val="3C413C82"/>
    <w:rsid w:val="3C4502E0"/>
    <w:rsid w:val="3C471C36"/>
    <w:rsid w:val="3C5A6B66"/>
    <w:rsid w:val="3C5D215A"/>
    <w:rsid w:val="3C6712D5"/>
    <w:rsid w:val="3C734413"/>
    <w:rsid w:val="3C8E50A1"/>
    <w:rsid w:val="3C982C18"/>
    <w:rsid w:val="3CA734F8"/>
    <w:rsid w:val="3CC74223"/>
    <w:rsid w:val="3CC828D0"/>
    <w:rsid w:val="3CDB5F96"/>
    <w:rsid w:val="3CE23F49"/>
    <w:rsid w:val="3CE31CF6"/>
    <w:rsid w:val="3CEC39B8"/>
    <w:rsid w:val="3CF720E3"/>
    <w:rsid w:val="3CF72D6A"/>
    <w:rsid w:val="3CF86D06"/>
    <w:rsid w:val="3D00620E"/>
    <w:rsid w:val="3D035226"/>
    <w:rsid w:val="3D071C0A"/>
    <w:rsid w:val="3D145DC3"/>
    <w:rsid w:val="3D24266F"/>
    <w:rsid w:val="3D316CDB"/>
    <w:rsid w:val="3D3679ED"/>
    <w:rsid w:val="3D3D6BBD"/>
    <w:rsid w:val="3D450F8C"/>
    <w:rsid w:val="3D477118"/>
    <w:rsid w:val="3D594E54"/>
    <w:rsid w:val="3D62706F"/>
    <w:rsid w:val="3D6E2272"/>
    <w:rsid w:val="3D6E5ED6"/>
    <w:rsid w:val="3D7C727A"/>
    <w:rsid w:val="3D81786B"/>
    <w:rsid w:val="3D830417"/>
    <w:rsid w:val="3D877AC5"/>
    <w:rsid w:val="3D882D35"/>
    <w:rsid w:val="3D8D2848"/>
    <w:rsid w:val="3D94235D"/>
    <w:rsid w:val="3D9461E1"/>
    <w:rsid w:val="3DAC1E4C"/>
    <w:rsid w:val="3DB34E86"/>
    <w:rsid w:val="3DD31030"/>
    <w:rsid w:val="3DE05321"/>
    <w:rsid w:val="3DEC775B"/>
    <w:rsid w:val="3DF379B0"/>
    <w:rsid w:val="3DF52358"/>
    <w:rsid w:val="3DF95812"/>
    <w:rsid w:val="3E05314D"/>
    <w:rsid w:val="3E142837"/>
    <w:rsid w:val="3E1D4077"/>
    <w:rsid w:val="3E1D4B24"/>
    <w:rsid w:val="3E2811AE"/>
    <w:rsid w:val="3E2E1A1A"/>
    <w:rsid w:val="3E3A04FA"/>
    <w:rsid w:val="3E3D6B96"/>
    <w:rsid w:val="3E4026AD"/>
    <w:rsid w:val="3E441C7D"/>
    <w:rsid w:val="3E490256"/>
    <w:rsid w:val="3E55739E"/>
    <w:rsid w:val="3E6C43C8"/>
    <w:rsid w:val="3E8227F0"/>
    <w:rsid w:val="3E9B4B40"/>
    <w:rsid w:val="3EB71AC8"/>
    <w:rsid w:val="3EC85E34"/>
    <w:rsid w:val="3ED0424C"/>
    <w:rsid w:val="3EE71542"/>
    <w:rsid w:val="3EF31E7F"/>
    <w:rsid w:val="3EF36DF0"/>
    <w:rsid w:val="3EFA08FC"/>
    <w:rsid w:val="3F01231B"/>
    <w:rsid w:val="3F053EF6"/>
    <w:rsid w:val="3F093188"/>
    <w:rsid w:val="3F173F6B"/>
    <w:rsid w:val="3F1E1DE8"/>
    <w:rsid w:val="3F2244AD"/>
    <w:rsid w:val="3F253B0C"/>
    <w:rsid w:val="3F2C04C4"/>
    <w:rsid w:val="3F3E7C9F"/>
    <w:rsid w:val="3F416B99"/>
    <w:rsid w:val="3F4F5AD7"/>
    <w:rsid w:val="3F537FF3"/>
    <w:rsid w:val="3F5D0DD6"/>
    <w:rsid w:val="3F6B75A6"/>
    <w:rsid w:val="3F7B3FB4"/>
    <w:rsid w:val="3F840943"/>
    <w:rsid w:val="3F8C0A49"/>
    <w:rsid w:val="3F913853"/>
    <w:rsid w:val="3F9660C3"/>
    <w:rsid w:val="3FA827ED"/>
    <w:rsid w:val="3FAE45A4"/>
    <w:rsid w:val="3FB45C58"/>
    <w:rsid w:val="3FBA5EFD"/>
    <w:rsid w:val="3FC36557"/>
    <w:rsid w:val="3FC956FF"/>
    <w:rsid w:val="3FD13F50"/>
    <w:rsid w:val="3FD66463"/>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CC265C"/>
    <w:rsid w:val="40EC7D18"/>
    <w:rsid w:val="40ED11A0"/>
    <w:rsid w:val="40FD1BF0"/>
    <w:rsid w:val="410547E1"/>
    <w:rsid w:val="41096BC0"/>
    <w:rsid w:val="410A75B6"/>
    <w:rsid w:val="410B452A"/>
    <w:rsid w:val="413353F1"/>
    <w:rsid w:val="41513BC9"/>
    <w:rsid w:val="415269F8"/>
    <w:rsid w:val="41735B7F"/>
    <w:rsid w:val="41D574BC"/>
    <w:rsid w:val="41D75714"/>
    <w:rsid w:val="41D95EE3"/>
    <w:rsid w:val="41DD3BC3"/>
    <w:rsid w:val="41EE2F03"/>
    <w:rsid w:val="41F466FD"/>
    <w:rsid w:val="42002BC7"/>
    <w:rsid w:val="42026B03"/>
    <w:rsid w:val="420364D9"/>
    <w:rsid w:val="420D197F"/>
    <w:rsid w:val="421316FC"/>
    <w:rsid w:val="42187EBE"/>
    <w:rsid w:val="421C3DAC"/>
    <w:rsid w:val="4227435A"/>
    <w:rsid w:val="424B5824"/>
    <w:rsid w:val="42610528"/>
    <w:rsid w:val="42655B81"/>
    <w:rsid w:val="426973AD"/>
    <w:rsid w:val="426C63F2"/>
    <w:rsid w:val="427A2855"/>
    <w:rsid w:val="427A67A1"/>
    <w:rsid w:val="427B33ED"/>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E7E66"/>
    <w:rsid w:val="43250AEC"/>
    <w:rsid w:val="4332317A"/>
    <w:rsid w:val="433F6B54"/>
    <w:rsid w:val="4346543A"/>
    <w:rsid w:val="435B1259"/>
    <w:rsid w:val="436263D5"/>
    <w:rsid w:val="437556C4"/>
    <w:rsid w:val="437C3AD0"/>
    <w:rsid w:val="43874CD4"/>
    <w:rsid w:val="43955DE3"/>
    <w:rsid w:val="43AF2D32"/>
    <w:rsid w:val="43B76E4F"/>
    <w:rsid w:val="43CF0206"/>
    <w:rsid w:val="43D235C5"/>
    <w:rsid w:val="43D669B3"/>
    <w:rsid w:val="43D85D6D"/>
    <w:rsid w:val="43EC6F1F"/>
    <w:rsid w:val="43FE44BA"/>
    <w:rsid w:val="440D5045"/>
    <w:rsid w:val="44300615"/>
    <w:rsid w:val="44371929"/>
    <w:rsid w:val="443740AF"/>
    <w:rsid w:val="443F1622"/>
    <w:rsid w:val="44480935"/>
    <w:rsid w:val="444851FA"/>
    <w:rsid w:val="44572BAD"/>
    <w:rsid w:val="445E4DEE"/>
    <w:rsid w:val="44640994"/>
    <w:rsid w:val="446456BB"/>
    <w:rsid w:val="446B0434"/>
    <w:rsid w:val="44706761"/>
    <w:rsid w:val="44756A66"/>
    <w:rsid w:val="447E4EBE"/>
    <w:rsid w:val="447F0CBA"/>
    <w:rsid w:val="448D7804"/>
    <w:rsid w:val="44957F46"/>
    <w:rsid w:val="44994CF5"/>
    <w:rsid w:val="449A491B"/>
    <w:rsid w:val="44A24696"/>
    <w:rsid w:val="44CD5F97"/>
    <w:rsid w:val="44DC46EB"/>
    <w:rsid w:val="44F03F8F"/>
    <w:rsid w:val="44F14ECF"/>
    <w:rsid w:val="45115669"/>
    <w:rsid w:val="45210EEA"/>
    <w:rsid w:val="45275172"/>
    <w:rsid w:val="452754C3"/>
    <w:rsid w:val="45332511"/>
    <w:rsid w:val="45412C46"/>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14325"/>
    <w:rsid w:val="4626083B"/>
    <w:rsid w:val="463246EC"/>
    <w:rsid w:val="463A3547"/>
    <w:rsid w:val="46427647"/>
    <w:rsid w:val="4648082C"/>
    <w:rsid w:val="464A386A"/>
    <w:rsid w:val="465454A5"/>
    <w:rsid w:val="46555DC3"/>
    <w:rsid w:val="46617DB2"/>
    <w:rsid w:val="46621065"/>
    <w:rsid w:val="46665198"/>
    <w:rsid w:val="46697236"/>
    <w:rsid w:val="46770F8B"/>
    <w:rsid w:val="467745A2"/>
    <w:rsid w:val="467A3E6F"/>
    <w:rsid w:val="467C16FA"/>
    <w:rsid w:val="46894B18"/>
    <w:rsid w:val="469448C6"/>
    <w:rsid w:val="469F39B5"/>
    <w:rsid w:val="46A14BDE"/>
    <w:rsid w:val="46A232B5"/>
    <w:rsid w:val="46A50B23"/>
    <w:rsid w:val="46B80AF8"/>
    <w:rsid w:val="46D37F0B"/>
    <w:rsid w:val="46D71533"/>
    <w:rsid w:val="46E53335"/>
    <w:rsid w:val="47040E98"/>
    <w:rsid w:val="470A337F"/>
    <w:rsid w:val="47155D89"/>
    <w:rsid w:val="47253C54"/>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35372"/>
    <w:rsid w:val="47B806D7"/>
    <w:rsid w:val="47C01792"/>
    <w:rsid w:val="47C57A48"/>
    <w:rsid w:val="47D511BD"/>
    <w:rsid w:val="480321E6"/>
    <w:rsid w:val="4808150F"/>
    <w:rsid w:val="480E6650"/>
    <w:rsid w:val="480F51A8"/>
    <w:rsid w:val="48256B1B"/>
    <w:rsid w:val="48282713"/>
    <w:rsid w:val="484417FA"/>
    <w:rsid w:val="48450ECE"/>
    <w:rsid w:val="484759CD"/>
    <w:rsid w:val="484B14EC"/>
    <w:rsid w:val="4853074C"/>
    <w:rsid w:val="48713351"/>
    <w:rsid w:val="48802846"/>
    <w:rsid w:val="48850157"/>
    <w:rsid w:val="48B116EA"/>
    <w:rsid w:val="48B74C7A"/>
    <w:rsid w:val="48BE32BF"/>
    <w:rsid w:val="48C354EC"/>
    <w:rsid w:val="48CB2583"/>
    <w:rsid w:val="48D429DD"/>
    <w:rsid w:val="48E01C77"/>
    <w:rsid w:val="48E22285"/>
    <w:rsid w:val="48E50D90"/>
    <w:rsid w:val="48F906C8"/>
    <w:rsid w:val="48FA15CC"/>
    <w:rsid w:val="491B63DF"/>
    <w:rsid w:val="491D63E9"/>
    <w:rsid w:val="492A068A"/>
    <w:rsid w:val="4932285C"/>
    <w:rsid w:val="493551FE"/>
    <w:rsid w:val="493E2F78"/>
    <w:rsid w:val="494D0152"/>
    <w:rsid w:val="495217DF"/>
    <w:rsid w:val="4958367A"/>
    <w:rsid w:val="49675EDB"/>
    <w:rsid w:val="498A16CD"/>
    <w:rsid w:val="499F6692"/>
    <w:rsid w:val="49A33C27"/>
    <w:rsid w:val="49A750B5"/>
    <w:rsid w:val="49BE07DA"/>
    <w:rsid w:val="49C2238E"/>
    <w:rsid w:val="49C84AA0"/>
    <w:rsid w:val="49D7694D"/>
    <w:rsid w:val="49EA0497"/>
    <w:rsid w:val="49F772E6"/>
    <w:rsid w:val="4A013507"/>
    <w:rsid w:val="4A0244D3"/>
    <w:rsid w:val="4A255046"/>
    <w:rsid w:val="4A28799C"/>
    <w:rsid w:val="4A2E1525"/>
    <w:rsid w:val="4A3E43AB"/>
    <w:rsid w:val="4A4F73F7"/>
    <w:rsid w:val="4A5A2744"/>
    <w:rsid w:val="4A5A756D"/>
    <w:rsid w:val="4A77693B"/>
    <w:rsid w:val="4A785772"/>
    <w:rsid w:val="4A7B5051"/>
    <w:rsid w:val="4A89105B"/>
    <w:rsid w:val="4A997903"/>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43BBE"/>
    <w:rsid w:val="4B072155"/>
    <w:rsid w:val="4B174032"/>
    <w:rsid w:val="4B250CF8"/>
    <w:rsid w:val="4B277E4E"/>
    <w:rsid w:val="4B7C4100"/>
    <w:rsid w:val="4B80136B"/>
    <w:rsid w:val="4B830F9B"/>
    <w:rsid w:val="4B9B0C47"/>
    <w:rsid w:val="4B9D4011"/>
    <w:rsid w:val="4BB36BDD"/>
    <w:rsid w:val="4BBC374F"/>
    <w:rsid w:val="4BC32290"/>
    <w:rsid w:val="4BD0339A"/>
    <w:rsid w:val="4BF32495"/>
    <w:rsid w:val="4BF8517A"/>
    <w:rsid w:val="4BFA3FA2"/>
    <w:rsid w:val="4C031945"/>
    <w:rsid w:val="4C2B4DDD"/>
    <w:rsid w:val="4C562920"/>
    <w:rsid w:val="4C5D1F92"/>
    <w:rsid w:val="4C603F16"/>
    <w:rsid w:val="4C6262E0"/>
    <w:rsid w:val="4C632900"/>
    <w:rsid w:val="4C6703A3"/>
    <w:rsid w:val="4C6D7518"/>
    <w:rsid w:val="4C923A72"/>
    <w:rsid w:val="4CB96B0F"/>
    <w:rsid w:val="4CD315DD"/>
    <w:rsid w:val="4CDE1A81"/>
    <w:rsid w:val="4CE34E9F"/>
    <w:rsid w:val="4CF52D94"/>
    <w:rsid w:val="4D040BDB"/>
    <w:rsid w:val="4D131782"/>
    <w:rsid w:val="4D257DB4"/>
    <w:rsid w:val="4D2B086E"/>
    <w:rsid w:val="4D3520AA"/>
    <w:rsid w:val="4D462159"/>
    <w:rsid w:val="4D465FB7"/>
    <w:rsid w:val="4D566017"/>
    <w:rsid w:val="4D613CEC"/>
    <w:rsid w:val="4D6F2615"/>
    <w:rsid w:val="4D7D3EFB"/>
    <w:rsid w:val="4D8B0123"/>
    <w:rsid w:val="4DAF14C5"/>
    <w:rsid w:val="4DB9067A"/>
    <w:rsid w:val="4DBA4F8F"/>
    <w:rsid w:val="4DC605B6"/>
    <w:rsid w:val="4DCA0533"/>
    <w:rsid w:val="4DD732D2"/>
    <w:rsid w:val="4DDD4847"/>
    <w:rsid w:val="4DE6535D"/>
    <w:rsid w:val="4DEC0985"/>
    <w:rsid w:val="4E0538A3"/>
    <w:rsid w:val="4E0E6818"/>
    <w:rsid w:val="4E27683A"/>
    <w:rsid w:val="4E354DF5"/>
    <w:rsid w:val="4E415291"/>
    <w:rsid w:val="4E4C50A3"/>
    <w:rsid w:val="4E510698"/>
    <w:rsid w:val="4E576363"/>
    <w:rsid w:val="4E635567"/>
    <w:rsid w:val="4E63744A"/>
    <w:rsid w:val="4E642C68"/>
    <w:rsid w:val="4E742982"/>
    <w:rsid w:val="4E9C0636"/>
    <w:rsid w:val="4EA30DB6"/>
    <w:rsid w:val="4EA7341F"/>
    <w:rsid w:val="4EDB58B2"/>
    <w:rsid w:val="4EE0724A"/>
    <w:rsid w:val="4EE925CE"/>
    <w:rsid w:val="4EEF2E30"/>
    <w:rsid w:val="4EF24828"/>
    <w:rsid w:val="4EFE7F59"/>
    <w:rsid w:val="4F016DF9"/>
    <w:rsid w:val="4F285975"/>
    <w:rsid w:val="4F2A7BF3"/>
    <w:rsid w:val="4F2E2624"/>
    <w:rsid w:val="4F4E1077"/>
    <w:rsid w:val="4F52614B"/>
    <w:rsid w:val="4F546156"/>
    <w:rsid w:val="4F671A09"/>
    <w:rsid w:val="4F80187B"/>
    <w:rsid w:val="4F844A99"/>
    <w:rsid w:val="4F94662C"/>
    <w:rsid w:val="4F9B7EA7"/>
    <w:rsid w:val="4FAB2D34"/>
    <w:rsid w:val="4FB00163"/>
    <w:rsid w:val="4FB208E7"/>
    <w:rsid w:val="4FCA5FC8"/>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5F4B6A"/>
    <w:rsid w:val="50683D77"/>
    <w:rsid w:val="507E1B25"/>
    <w:rsid w:val="508264CE"/>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120D44"/>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57070"/>
    <w:rsid w:val="51A67E0E"/>
    <w:rsid w:val="51BA0CB7"/>
    <w:rsid w:val="51C93676"/>
    <w:rsid w:val="51CB1F8D"/>
    <w:rsid w:val="51D129CA"/>
    <w:rsid w:val="51D93F8A"/>
    <w:rsid w:val="51E5046A"/>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FE7128"/>
    <w:rsid w:val="54247F22"/>
    <w:rsid w:val="542C29CD"/>
    <w:rsid w:val="542F1551"/>
    <w:rsid w:val="54381756"/>
    <w:rsid w:val="54596DB5"/>
    <w:rsid w:val="545A1EBF"/>
    <w:rsid w:val="54717CCC"/>
    <w:rsid w:val="54727478"/>
    <w:rsid w:val="54B06F11"/>
    <w:rsid w:val="54B56DF4"/>
    <w:rsid w:val="54B93943"/>
    <w:rsid w:val="54BE5578"/>
    <w:rsid w:val="54BF52B5"/>
    <w:rsid w:val="54D202CA"/>
    <w:rsid w:val="54D54E59"/>
    <w:rsid w:val="54DD41DB"/>
    <w:rsid w:val="54E43C38"/>
    <w:rsid w:val="54ED3D78"/>
    <w:rsid w:val="54F02D69"/>
    <w:rsid w:val="54F50220"/>
    <w:rsid w:val="54F52BA3"/>
    <w:rsid w:val="54F54E04"/>
    <w:rsid w:val="54F93B5E"/>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47C5"/>
    <w:rsid w:val="55757FB9"/>
    <w:rsid w:val="55884237"/>
    <w:rsid w:val="558C7FAA"/>
    <w:rsid w:val="559C353C"/>
    <w:rsid w:val="55A25EB7"/>
    <w:rsid w:val="55A82784"/>
    <w:rsid w:val="55A97512"/>
    <w:rsid w:val="55B63FD5"/>
    <w:rsid w:val="55C35A76"/>
    <w:rsid w:val="55D40743"/>
    <w:rsid w:val="55DD6F2A"/>
    <w:rsid w:val="55E46ECB"/>
    <w:rsid w:val="55E8339E"/>
    <w:rsid w:val="55E92876"/>
    <w:rsid w:val="55F06771"/>
    <w:rsid w:val="55F1761D"/>
    <w:rsid w:val="56013311"/>
    <w:rsid w:val="56106284"/>
    <w:rsid w:val="562339AD"/>
    <w:rsid w:val="5632642A"/>
    <w:rsid w:val="56375B61"/>
    <w:rsid w:val="56462238"/>
    <w:rsid w:val="564944F4"/>
    <w:rsid w:val="564C7B44"/>
    <w:rsid w:val="564E5820"/>
    <w:rsid w:val="56630C00"/>
    <w:rsid w:val="567739D2"/>
    <w:rsid w:val="5686536D"/>
    <w:rsid w:val="568B1DB1"/>
    <w:rsid w:val="56A55214"/>
    <w:rsid w:val="56A67978"/>
    <w:rsid w:val="56AC63C5"/>
    <w:rsid w:val="56B61F71"/>
    <w:rsid w:val="56C1700B"/>
    <w:rsid w:val="56D25618"/>
    <w:rsid w:val="56D93729"/>
    <w:rsid w:val="56E84A97"/>
    <w:rsid w:val="57011F3E"/>
    <w:rsid w:val="5705646B"/>
    <w:rsid w:val="57060649"/>
    <w:rsid w:val="572A5CCC"/>
    <w:rsid w:val="5732705F"/>
    <w:rsid w:val="5734308D"/>
    <w:rsid w:val="57351D6F"/>
    <w:rsid w:val="5750195B"/>
    <w:rsid w:val="576476C1"/>
    <w:rsid w:val="576C4D24"/>
    <w:rsid w:val="577B3337"/>
    <w:rsid w:val="578A30A4"/>
    <w:rsid w:val="579E7733"/>
    <w:rsid w:val="579F1641"/>
    <w:rsid w:val="57A33734"/>
    <w:rsid w:val="57AB6ADD"/>
    <w:rsid w:val="57BD72A7"/>
    <w:rsid w:val="57BE5838"/>
    <w:rsid w:val="57C85610"/>
    <w:rsid w:val="57FC07D9"/>
    <w:rsid w:val="57FF6992"/>
    <w:rsid w:val="580927BA"/>
    <w:rsid w:val="580F1B21"/>
    <w:rsid w:val="581B7E79"/>
    <w:rsid w:val="582A1A99"/>
    <w:rsid w:val="58403228"/>
    <w:rsid w:val="584D5888"/>
    <w:rsid w:val="58500F22"/>
    <w:rsid w:val="58587379"/>
    <w:rsid w:val="585D5BB3"/>
    <w:rsid w:val="586D57A3"/>
    <w:rsid w:val="587917A0"/>
    <w:rsid w:val="587A4288"/>
    <w:rsid w:val="5880052B"/>
    <w:rsid w:val="589E5C53"/>
    <w:rsid w:val="58A4570E"/>
    <w:rsid w:val="58AC41AA"/>
    <w:rsid w:val="58AD27D9"/>
    <w:rsid w:val="58B169A2"/>
    <w:rsid w:val="58B9636C"/>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C34D9"/>
    <w:rsid w:val="594079B2"/>
    <w:rsid w:val="594A13D7"/>
    <w:rsid w:val="596B0B42"/>
    <w:rsid w:val="5987482A"/>
    <w:rsid w:val="59904485"/>
    <w:rsid w:val="599C49A8"/>
    <w:rsid w:val="59A36725"/>
    <w:rsid w:val="59AF7FC4"/>
    <w:rsid w:val="59B21BF9"/>
    <w:rsid w:val="59B94FAB"/>
    <w:rsid w:val="59BB4EA3"/>
    <w:rsid w:val="59E9525B"/>
    <w:rsid w:val="59E97F18"/>
    <w:rsid w:val="59ED369A"/>
    <w:rsid w:val="59F648EE"/>
    <w:rsid w:val="5A011A3B"/>
    <w:rsid w:val="5A3C0F08"/>
    <w:rsid w:val="5A3E5B83"/>
    <w:rsid w:val="5A4A0FD5"/>
    <w:rsid w:val="5A5663A3"/>
    <w:rsid w:val="5A571746"/>
    <w:rsid w:val="5A5907CA"/>
    <w:rsid w:val="5A6253E3"/>
    <w:rsid w:val="5A8E6670"/>
    <w:rsid w:val="5A912613"/>
    <w:rsid w:val="5A9245E9"/>
    <w:rsid w:val="5A953D41"/>
    <w:rsid w:val="5AAD49D1"/>
    <w:rsid w:val="5ABC50F4"/>
    <w:rsid w:val="5AC445F6"/>
    <w:rsid w:val="5ACC4940"/>
    <w:rsid w:val="5AD50599"/>
    <w:rsid w:val="5AD71465"/>
    <w:rsid w:val="5AD86A6D"/>
    <w:rsid w:val="5AEC14F6"/>
    <w:rsid w:val="5AF124A4"/>
    <w:rsid w:val="5AFB61DC"/>
    <w:rsid w:val="5B141085"/>
    <w:rsid w:val="5B28192B"/>
    <w:rsid w:val="5B2E7D32"/>
    <w:rsid w:val="5B373A6F"/>
    <w:rsid w:val="5B401ACF"/>
    <w:rsid w:val="5B402461"/>
    <w:rsid w:val="5B600DA9"/>
    <w:rsid w:val="5B631C92"/>
    <w:rsid w:val="5B66707B"/>
    <w:rsid w:val="5B673066"/>
    <w:rsid w:val="5B785E83"/>
    <w:rsid w:val="5B7C1CD1"/>
    <w:rsid w:val="5B9251EF"/>
    <w:rsid w:val="5BAB5BC4"/>
    <w:rsid w:val="5BB20B74"/>
    <w:rsid w:val="5BC677D8"/>
    <w:rsid w:val="5BEB0120"/>
    <w:rsid w:val="5C057E77"/>
    <w:rsid w:val="5C097C4E"/>
    <w:rsid w:val="5C104619"/>
    <w:rsid w:val="5C1A3A93"/>
    <w:rsid w:val="5C1E1E5E"/>
    <w:rsid w:val="5C235386"/>
    <w:rsid w:val="5C3B6CFC"/>
    <w:rsid w:val="5C4C2CF4"/>
    <w:rsid w:val="5C5400D3"/>
    <w:rsid w:val="5C6B1600"/>
    <w:rsid w:val="5C7D70D1"/>
    <w:rsid w:val="5C8542A8"/>
    <w:rsid w:val="5C8749DF"/>
    <w:rsid w:val="5C942262"/>
    <w:rsid w:val="5C9664F6"/>
    <w:rsid w:val="5C9F2C9F"/>
    <w:rsid w:val="5CA1479B"/>
    <w:rsid w:val="5CA6294E"/>
    <w:rsid w:val="5CB514F3"/>
    <w:rsid w:val="5CB60B44"/>
    <w:rsid w:val="5CC340BC"/>
    <w:rsid w:val="5CC85FC5"/>
    <w:rsid w:val="5CDB3358"/>
    <w:rsid w:val="5CDE5F6B"/>
    <w:rsid w:val="5CED4E0C"/>
    <w:rsid w:val="5D034EE9"/>
    <w:rsid w:val="5D0366E8"/>
    <w:rsid w:val="5D044FED"/>
    <w:rsid w:val="5D0A06B6"/>
    <w:rsid w:val="5D1307E8"/>
    <w:rsid w:val="5D212A05"/>
    <w:rsid w:val="5D2F4802"/>
    <w:rsid w:val="5D307658"/>
    <w:rsid w:val="5D3444E6"/>
    <w:rsid w:val="5D3F0BDF"/>
    <w:rsid w:val="5D46230D"/>
    <w:rsid w:val="5D48142C"/>
    <w:rsid w:val="5D5B7098"/>
    <w:rsid w:val="5D634782"/>
    <w:rsid w:val="5D693F0E"/>
    <w:rsid w:val="5D6E1B86"/>
    <w:rsid w:val="5D755C5D"/>
    <w:rsid w:val="5D7B386B"/>
    <w:rsid w:val="5D7C7286"/>
    <w:rsid w:val="5D8A2CFF"/>
    <w:rsid w:val="5D960EE9"/>
    <w:rsid w:val="5D9A0CFA"/>
    <w:rsid w:val="5DB052AA"/>
    <w:rsid w:val="5DD14397"/>
    <w:rsid w:val="5DD3123F"/>
    <w:rsid w:val="5DD71C7A"/>
    <w:rsid w:val="5DD734EC"/>
    <w:rsid w:val="5DEB095A"/>
    <w:rsid w:val="5DEC05A1"/>
    <w:rsid w:val="5DFD51DB"/>
    <w:rsid w:val="5E040CAD"/>
    <w:rsid w:val="5E0B0848"/>
    <w:rsid w:val="5E1D4A67"/>
    <w:rsid w:val="5E237029"/>
    <w:rsid w:val="5E2D4789"/>
    <w:rsid w:val="5E3A3BD1"/>
    <w:rsid w:val="5E5203B8"/>
    <w:rsid w:val="5E6A5399"/>
    <w:rsid w:val="5E71373F"/>
    <w:rsid w:val="5E717191"/>
    <w:rsid w:val="5E736456"/>
    <w:rsid w:val="5E830708"/>
    <w:rsid w:val="5E831398"/>
    <w:rsid w:val="5E85633A"/>
    <w:rsid w:val="5E921A45"/>
    <w:rsid w:val="5E975993"/>
    <w:rsid w:val="5EB51FDE"/>
    <w:rsid w:val="5EBA4472"/>
    <w:rsid w:val="5ECA3D37"/>
    <w:rsid w:val="5EE153F8"/>
    <w:rsid w:val="5EED7893"/>
    <w:rsid w:val="5F0842F6"/>
    <w:rsid w:val="5F0A3A61"/>
    <w:rsid w:val="5F2B57AF"/>
    <w:rsid w:val="5F516C64"/>
    <w:rsid w:val="5F683B6E"/>
    <w:rsid w:val="5F742691"/>
    <w:rsid w:val="5F875C0C"/>
    <w:rsid w:val="5F8F0B9E"/>
    <w:rsid w:val="5F8F267A"/>
    <w:rsid w:val="5F932A7D"/>
    <w:rsid w:val="5F9E5F96"/>
    <w:rsid w:val="5FB94C48"/>
    <w:rsid w:val="5FCE4FD3"/>
    <w:rsid w:val="5FF37587"/>
    <w:rsid w:val="5FFE3D73"/>
    <w:rsid w:val="5FFE57B7"/>
    <w:rsid w:val="60060CD5"/>
    <w:rsid w:val="600762FF"/>
    <w:rsid w:val="60085AA3"/>
    <w:rsid w:val="600C34C4"/>
    <w:rsid w:val="600E362B"/>
    <w:rsid w:val="60183392"/>
    <w:rsid w:val="601A4CB1"/>
    <w:rsid w:val="602C236D"/>
    <w:rsid w:val="603967D7"/>
    <w:rsid w:val="603D3325"/>
    <w:rsid w:val="60470CE3"/>
    <w:rsid w:val="604A6A1F"/>
    <w:rsid w:val="60597AB8"/>
    <w:rsid w:val="605C3003"/>
    <w:rsid w:val="60673C40"/>
    <w:rsid w:val="606A52D4"/>
    <w:rsid w:val="607C3753"/>
    <w:rsid w:val="608D1D4E"/>
    <w:rsid w:val="6092569C"/>
    <w:rsid w:val="60997945"/>
    <w:rsid w:val="60AD0357"/>
    <w:rsid w:val="60B004BE"/>
    <w:rsid w:val="60BA604C"/>
    <w:rsid w:val="60C30855"/>
    <w:rsid w:val="60C338B1"/>
    <w:rsid w:val="60D4742F"/>
    <w:rsid w:val="60D95276"/>
    <w:rsid w:val="60E06DEB"/>
    <w:rsid w:val="60E51841"/>
    <w:rsid w:val="61110088"/>
    <w:rsid w:val="611543D6"/>
    <w:rsid w:val="6122664B"/>
    <w:rsid w:val="613009FA"/>
    <w:rsid w:val="61421EFD"/>
    <w:rsid w:val="615C5041"/>
    <w:rsid w:val="6182260C"/>
    <w:rsid w:val="618C1883"/>
    <w:rsid w:val="619117A1"/>
    <w:rsid w:val="61972EF8"/>
    <w:rsid w:val="619F6539"/>
    <w:rsid w:val="61D04549"/>
    <w:rsid w:val="61D43A2B"/>
    <w:rsid w:val="61D61317"/>
    <w:rsid w:val="61F112FF"/>
    <w:rsid w:val="61FF316E"/>
    <w:rsid w:val="620F4BAD"/>
    <w:rsid w:val="621542CB"/>
    <w:rsid w:val="622D59F2"/>
    <w:rsid w:val="624263A2"/>
    <w:rsid w:val="625272C3"/>
    <w:rsid w:val="625D5DC9"/>
    <w:rsid w:val="6264117F"/>
    <w:rsid w:val="62715337"/>
    <w:rsid w:val="6280204D"/>
    <w:rsid w:val="62820D2A"/>
    <w:rsid w:val="6290769B"/>
    <w:rsid w:val="62943D08"/>
    <w:rsid w:val="62A03B5D"/>
    <w:rsid w:val="62A411F8"/>
    <w:rsid w:val="62BA7A46"/>
    <w:rsid w:val="62C376AC"/>
    <w:rsid w:val="62CE13CB"/>
    <w:rsid w:val="62D2197B"/>
    <w:rsid w:val="62D92B37"/>
    <w:rsid w:val="62E62FCC"/>
    <w:rsid w:val="62E97D27"/>
    <w:rsid w:val="62F6011A"/>
    <w:rsid w:val="632624E0"/>
    <w:rsid w:val="6327422B"/>
    <w:rsid w:val="632D369F"/>
    <w:rsid w:val="6333152F"/>
    <w:rsid w:val="633B249F"/>
    <w:rsid w:val="634D7789"/>
    <w:rsid w:val="63552D76"/>
    <w:rsid w:val="6359778B"/>
    <w:rsid w:val="635B63E3"/>
    <w:rsid w:val="63776102"/>
    <w:rsid w:val="638C3395"/>
    <w:rsid w:val="639623D1"/>
    <w:rsid w:val="639E76D8"/>
    <w:rsid w:val="63B159B9"/>
    <w:rsid w:val="63BA3154"/>
    <w:rsid w:val="63BD710D"/>
    <w:rsid w:val="63CA2E8B"/>
    <w:rsid w:val="63E022EB"/>
    <w:rsid w:val="63E333C1"/>
    <w:rsid w:val="63F4318A"/>
    <w:rsid w:val="63F47D2A"/>
    <w:rsid w:val="63FE2D33"/>
    <w:rsid w:val="64113810"/>
    <w:rsid w:val="64264A79"/>
    <w:rsid w:val="64304E58"/>
    <w:rsid w:val="64311867"/>
    <w:rsid w:val="64391ED3"/>
    <w:rsid w:val="6445632E"/>
    <w:rsid w:val="645371E5"/>
    <w:rsid w:val="64585750"/>
    <w:rsid w:val="645E7889"/>
    <w:rsid w:val="64623C90"/>
    <w:rsid w:val="648939AA"/>
    <w:rsid w:val="649B1AC2"/>
    <w:rsid w:val="64A7467B"/>
    <w:rsid w:val="64C86505"/>
    <w:rsid w:val="64F376E2"/>
    <w:rsid w:val="64FE700F"/>
    <w:rsid w:val="6500327F"/>
    <w:rsid w:val="6506609B"/>
    <w:rsid w:val="65083216"/>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3A6C47"/>
    <w:rsid w:val="664805B8"/>
    <w:rsid w:val="665B55EA"/>
    <w:rsid w:val="66655F85"/>
    <w:rsid w:val="66661EAB"/>
    <w:rsid w:val="667C7AEC"/>
    <w:rsid w:val="66984358"/>
    <w:rsid w:val="669B7C76"/>
    <w:rsid w:val="66A200F8"/>
    <w:rsid w:val="66A30EC2"/>
    <w:rsid w:val="66AA4BA8"/>
    <w:rsid w:val="66AE5459"/>
    <w:rsid w:val="66C955BD"/>
    <w:rsid w:val="66DC317D"/>
    <w:rsid w:val="66EB4314"/>
    <w:rsid w:val="670C6D27"/>
    <w:rsid w:val="670D67CE"/>
    <w:rsid w:val="67105BAB"/>
    <w:rsid w:val="671B1631"/>
    <w:rsid w:val="672736CE"/>
    <w:rsid w:val="67302DC3"/>
    <w:rsid w:val="674318B2"/>
    <w:rsid w:val="674D4B22"/>
    <w:rsid w:val="67534384"/>
    <w:rsid w:val="67570422"/>
    <w:rsid w:val="675D31B4"/>
    <w:rsid w:val="676D2F4B"/>
    <w:rsid w:val="676E2962"/>
    <w:rsid w:val="677A17D2"/>
    <w:rsid w:val="677A266A"/>
    <w:rsid w:val="677C1A81"/>
    <w:rsid w:val="67B163D1"/>
    <w:rsid w:val="67D365F8"/>
    <w:rsid w:val="67F45538"/>
    <w:rsid w:val="680239EB"/>
    <w:rsid w:val="680722DA"/>
    <w:rsid w:val="681938D1"/>
    <w:rsid w:val="682211D1"/>
    <w:rsid w:val="68523B9A"/>
    <w:rsid w:val="685C6395"/>
    <w:rsid w:val="68607778"/>
    <w:rsid w:val="686318DD"/>
    <w:rsid w:val="68635145"/>
    <w:rsid w:val="687918F7"/>
    <w:rsid w:val="687F607E"/>
    <w:rsid w:val="688E25E2"/>
    <w:rsid w:val="68A34C5C"/>
    <w:rsid w:val="68BC0EC9"/>
    <w:rsid w:val="68CA3183"/>
    <w:rsid w:val="68E24981"/>
    <w:rsid w:val="68E31B32"/>
    <w:rsid w:val="68F73307"/>
    <w:rsid w:val="690F6992"/>
    <w:rsid w:val="69123F86"/>
    <w:rsid w:val="691C3525"/>
    <w:rsid w:val="69216128"/>
    <w:rsid w:val="69280874"/>
    <w:rsid w:val="693A417E"/>
    <w:rsid w:val="695D6B21"/>
    <w:rsid w:val="695E22F2"/>
    <w:rsid w:val="69611EE7"/>
    <w:rsid w:val="696C708E"/>
    <w:rsid w:val="696F4D5D"/>
    <w:rsid w:val="69722623"/>
    <w:rsid w:val="69850877"/>
    <w:rsid w:val="698C13C5"/>
    <w:rsid w:val="6992608B"/>
    <w:rsid w:val="69C12F13"/>
    <w:rsid w:val="69C15F2D"/>
    <w:rsid w:val="69C8265A"/>
    <w:rsid w:val="69DC44FD"/>
    <w:rsid w:val="69EA1A07"/>
    <w:rsid w:val="69EE7649"/>
    <w:rsid w:val="69F0745A"/>
    <w:rsid w:val="6A1141CC"/>
    <w:rsid w:val="6A1D59EC"/>
    <w:rsid w:val="6A247F72"/>
    <w:rsid w:val="6A3E2393"/>
    <w:rsid w:val="6A435B92"/>
    <w:rsid w:val="6A444DB8"/>
    <w:rsid w:val="6A4D4828"/>
    <w:rsid w:val="6A4E2574"/>
    <w:rsid w:val="6A516AC3"/>
    <w:rsid w:val="6A5303BA"/>
    <w:rsid w:val="6A677080"/>
    <w:rsid w:val="6A711183"/>
    <w:rsid w:val="6A762B91"/>
    <w:rsid w:val="6A7925E0"/>
    <w:rsid w:val="6A7B4B9C"/>
    <w:rsid w:val="6AAF014C"/>
    <w:rsid w:val="6ACB082B"/>
    <w:rsid w:val="6AD3247E"/>
    <w:rsid w:val="6AE308A6"/>
    <w:rsid w:val="6B1D68F6"/>
    <w:rsid w:val="6B1D6FAB"/>
    <w:rsid w:val="6B287FBE"/>
    <w:rsid w:val="6B2B0EFD"/>
    <w:rsid w:val="6B2C13E4"/>
    <w:rsid w:val="6B32585A"/>
    <w:rsid w:val="6B4B0A4C"/>
    <w:rsid w:val="6B50310B"/>
    <w:rsid w:val="6B5045E2"/>
    <w:rsid w:val="6B63243A"/>
    <w:rsid w:val="6B736A2E"/>
    <w:rsid w:val="6B7C51E5"/>
    <w:rsid w:val="6B8170D6"/>
    <w:rsid w:val="6B884219"/>
    <w:rsid w:val="6B90781F"/>
    <w:rsid w:val="6BA9194F"/>
    <w:rsid w:val="6BC46041"/>
    <w:rsid w:val="6BCC3362"/>
    <w:rsid w:val="6BE402C8"/>
    <w:rsid w:val="6BE727F5"/>
    <w:rsid w:val="6BFD6EE1"/>
    <w:rsid w:val="6C155534"/>
    <w:rsid w:val="6C170716"/>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126110"/>
    <w:rsid w:val="6D221E52"/>
    <w:rsid w:val="6D227835"/>
    <w:rsid w:val="6D2B0A2A"/>
    <w:rsid w:val="6D3C6626"/>
    <w:rsid w:val="6D4B0E7D"/>
    <w:rsid w:val="6D5D0DB5"/>
    <w:rsid w:val="6D6855B1"/>
    <w:rsid w:val="6D7B4AB7"/>
    <w:rsid w:val="6D8112C5"/>
    <w:rsid w:val="6D842A6D"/>
    <w:rsid w:val="6D89784B"/>
    <w:rsid w:val="6D9E0566"/>
    <w:rsid w:val="6DA32D3A"/>
    <w:rsid w:val="6DDC72CD"/>
    <w:rsid w:val="6DF43BD4"/>
    <w:rsid w:val="6E0E1FAB"/>
    <w:rsid w:val="6E122C8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7736BC"/>
    <w:rsid w:val="6E920B5B"/>
    <w:rsid w:val="6E990B16"/>
    <w:rsid w:val="6EA25B6B"/>
    <w:rsid w:val="6EB169D3"/>
    <w:rsid w:val="6EB67DEB"/>
    <w:rsid w:val="6EB829B1"/>
    <w:rsid w:val="6EB978A9"/>
    <w:rsid w:val="6EC42765"/>
    <w:rsid w:val="6ECC3A24"/>
    <w:rsid w:val="6ED86D3E"/>
    <w:rsid w:val="6EDD143D"/>
    <w:rsid w:val="6EDD7A49"/>
    <w:rsid w:val="6EDE559B"/>
    <w:rsid w:val="6EE9744F"/>
    <w:rsid w:val="6EEC3F7C"/>
    <w:rsid w:val="6EF4232C"/>
    <w:rsid w:val="6EFE1485"/>
    <w:rsid w:val="6F031F8E"/>
    <w:rsid w:val="6F0425B3"/>
    <w:rsid w:val="6F0633BB"/>
    <w:rsid w:val="6F0D382C"/>
    <w:rsid w:val="6F1859D0"/>
    <w:rsid w:val="6F2632E8"/>
    <w:rsid w:val="6F30363A"/>
    <w:rsid w:val="6F3316E5"/>
    <w:rsid w:val="6F387CAD"/>
    <w:rsid w:val="6F3A20F3"/>
    <w:rsid w:val="6F3F40F9"/>
    <w:rsid w:val="6F474F6D"/>
    <w:rsid w:val="6F6F14E1"/>
    <w:rsid w:val="6F85366A"/>
    <w:rsid w:val="6F8E0A2D"/>
    <w:rsid w:val="6F90702F"/>
    <w:rsid w:val="6FA629D4"/>
    <w:rsid w:val="6FA75ADB"/>
    <w:rsid w:val="6FB0079D"/>
    <w:rsid w:val="6FB744A4"/>
    <w:rsid w:val="6FB77ED4"/>
    <w:rsid w:val="6FBD4D2F"/>
    <w:rsid w:val="6FBE54C9"/>
    <w:rsid w:val="6FBF4710"/>
    <w:rsid w:val="6FC27371"/>
    <w:rsid w:val="6FC9109F"/>
    <w:rsid w:val="6FC973F7"/>
    <w:rsid w:val="6FD222C4"/>
    <w:rsid w:val="6FDB518F"/>
    <w:rsid w:val="6FE529ED"/>
    <w:rsid w:val="6FF733A7"/>
    <w:rsid w:val="70003DD9"/>
    <w:rsid w:val="70072915"/>
    <w:rsid w:val="70172090"/>
    <w:rsid w:val="70195E88"/>
    <w:rsid w:val="701D2B73"/>
    <w:rsid w:val="701D43BA"/>
    <w:rsid w:val="702728D9"/>
    <w:rsid w:val="702B6F43"/>
    <w:rsid w:val="7032079E"/>
    <w:rsid w:val="703C186A"/>
    <w:rsid w:val="70570007"/>
    <w:rsid w:val="706A1AFA"/>
    <w:rsid w:val="70822BAD"/>
    <w:rsid w:val="708746BC"/>
    <w:rsid w:val="708F7F54"/>
    <w:rsid w:val="709E3D85"/>
    <w:rsid w:val="70AC660B"/>
    <w:rsid w:val="70B17138"/>
    <w:rsid w:val="70BB2EF0"/>
    <w:rsid w:val="70BC2801"/>
    <w:rsid w:val="70C6646C"/>
    <w:rsid w:val="70F53623"/>
    <w:rsid w:val="70FC2D1E"/>
    <w:rsid w:val="71015D6B"/>
    <w:rsid w:val="711059F7"/>
    <w:rsid w:val="71151975"/>
    <w:rsid w:val="71336A65"/>
    <w:rsid w:val="713B5291"/>
    <w:rsid w:val="71545B37"/>
    <w:rsid w:val="71573E01"/>
    <w:rsid w:val="71702748"/>
    <w:rsid w:val="717F0007"/>
    <w:rsid w:val="71867894"/>
    <w:rsid w:val="719F7A78"/>
    <w:rsid w:val="71C7444E"/>
    <w:rsid w:val="71C7540C"/>
    <w:rsid w:val="71CE736A"/>
    <w:rsid w:val="71F64A63"/>
    <w:rsid w:val="71F870B8"/>
    <w:rsid w:val="72021233"/>
    <w:rsid w:val="720B2A1D"/>
    <w:rsid w:val="72174817"/>
    <w:rsid w:val="7231040E"/>
    <w:rsid w:val="72430D76"/>
    <w:rsid w:val="72445E9B"/>
    <w:rsid w:val="72614063"/>
    <w:rsid w:val="72671940"/>
    <w:rsid w:val="727C422C"/>
    <w:rsid w:val="7292045A"/>
    <w:rsid w:val="72974DBE"/>
    <w:rsid w:val="72A20C20"/>
    <w:rsid w:val="72AC5E95"/>
    <w:rsid w:val="72AE20F2"/>
    <w:rsid w:val="72C13ED7"/>
    <w:rsid w:val="72CF1AC7"/>
    <w:rsid w:val="72E42AFA"/>
    <w:rsid w:val="72E671B2"/>
    <w:rsid w:val="72E75711"/>
    <w:rsid w:val="72E85578"/>
    <w:rsid w:val="72EB4466"/>
    <w:rsid w:val="72F92C7F"/>
    <w:rsid w:val="72FD426E"/>
    <w:rsid w:val="73043CFC"/>
    <w:rsid w:val="73161882"/>
    <w:rsid w:val="732C334F"/>
    <w:rsid w:val="73494287"/>
    <w:rsid w:val="734D52BA"/>
    <w:rsid w:val="734F0C79"/>
    <w:rsid w:val="734F4185"/>
    <w:rsid w:val="73520620"/>
    <w:rsid w:val="735B578C"/>
    <w:rsid w:val="736249E3"/>
    <w:rsid w:val="7363274A"/>
    <w:rsid w:val="73691A4A"/>
    <w:rsid w:val="737807F3"/>
    <w:rsid w:val="7388529A"/>
    <w:rsid w:val="738A6895"/>
    <w:rsid w:val="73B04FAB"/>
    <w:rsid w:val="73BC7089"/>
    <w:rsid w:val="73BE7067"/>
    <w:rsid w:val="73E52294"/>
    <w:rsid w:val="73EF457F"/>
    <w:rsid w:val="73FD7457"/>
    <w:rsid w:val="73FF2D64"/>
    <w:rsid w:val="74137154"/>
    <w:rsid w:val="741A4286"/>
    <w:rsid w:val="74257F79"/>
    <w:rsid w:val="74273820"/>
    <w:rsid w:val="7427471C"/>
    <w:rsid w:val="74277098"/>
    <w:rsid w:val="742D7FA7"/>
    <w:rsid w:val="74343ADB"/>
    <w:rsid w:val="74355B0B"/>
    <w:rsid w:val="743C7157"/>
    <w:rsid w:val="74416F54"/>
    <w:rsid w:val="744B354F"/>
    <w:rsid w:val="7450294E"/>
    <w:rsid w:val="745820F0"/>
    <w:rsid w:val="745E5245"/>
    <w:rsid w:val="74615D25"/>
    <w:rsid w:val="746B732F"/>
    <w:rsid w:val="746E18CB"/>
    <w:rsid w:val="74885F0B"/>
    <w:rsid w:val="748D52FA"/>
    <w:rsid w:val="74993216"/>
    <w:rsid w:val="74B44784"/>
    <w:rsid w:val="74B808BF"/>
    <w:rsid w:val="74ED6DC4"/>
    <w:rsid w:val="75084E8F"/>
    <w:rsid w:val="751122B7"/>
    <w:rsid w:val="751F214A"/>
    <w:rsid w:val="75202656"/>
    <w:rsid w:val="75273595"/>
    <w:rsid w:val="753C7073"/>
    <w:rsid w:val="755743A4"/>
    <w:rsid w:val="75632490"/>
    <w:rsid w:val="75752B04"/>
    <w:rsid w:val="758910BB"/>
    <w:rsid w:val="75955DA9"/>
    <w:rsid w:val="75977910"/>
    <w:rsid w:val="75985214"/>
    <w:rsid w:val="759F2A35"/>
    <w:rsid w:val="75A90798"/>
    <w:rsid w:val="75B15C41"/>
    <w:rsid w:val="75C54845"/>
    <w:rsid w:val="75C76C47"/>
    <w:rsid w:val="75D12923"/>
    <w:rsid w:val="75EA364B"/>
    <w:rsid w:val="75F20996"/>
    <w:rsid w:val="75F96973"/>
    <w:rsid w:val="75FE5A56"/>
    <w:rsid w:val="760E1952"/>
    <w:rsid w:val="76123E1D"/>
    <w:rsid w:val="761A4A4E"/>
    <w:rsid w:val="762A17C0"/>
    <w:rsid w:val="76425118"/>
    <w:rsid w:val="764838B9"/>
    <w:rsid w:val="764B15DA"/>
    <w:rsid w:val="764C09B4"/>
    <w:rsid w:val="764F5A52"/>
    <w:rsid w:val="766A4A0D"/>
    <w:rsid w:val="766B37EE"/>
    <w:rsid w:val="7692667A"/>
    <w:rsid w:val="7693567A"/>
    <w:rsid w:val="76982273"/>
    <w:rsid w:val="769A7352"/>
    <w:rsid w:val="76A177B8"/>
    <w:rsid w:val="76AD2761"/>
    <w:rsid w:val="76B2071B"/>
    <w:rsid w:val="76B64E53"/>
    <w:rsid w:val="76B8001A"/>
    <w:rsid w:val="76BC314A"/>
    <w:rsid w:val="76CF29D3"/>
    <w:rsid w:val="76DC7E3D"/>
    <w:rsid w:val="76E33ABE"/>
    <w:rsid w:val="76EC51FD"/>
    <w:rsid w:val="76ED32B6"/>
    <w:rsid w:val="76F410B8"/>
    <w:rsid w:val="77070DB8"/>
    <w:rsid w:val="77194245"/>
    <w:rsid w:val="771B67DF"/>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31E9C"/>
    <w:rsid w:val="77C759CB"/>
    <w:rsid w:val="77E66E3C"/>
    <w:rsid w:val="77EA17B7"/>
    <w:rsid w:val="77EE408F"/>
    <w:rsid w:val="77F34529"/>
    <w:rsid w:val="77F3789A"/>
    <w:rsid w:val="77F865B2"/>
    <w:rsid w:val="780326B9"/>
    <w:rsid w:val="78034B6F"/>
    <w:rsid w:val="7833711D"/>
    <w:rsid w:val="78497C2E"/>
    <w:rsid w:val="7854087B"/>
    <w:rsid w:val="786A4053"/>
    <w:rsid w:val="78782A0D"/>
    <w:rsid w:val="787B5060"/>
    <w:rsid w:val="787E0AC5"/>
    <w:rsid w:val="788720E7"/>
    <w:rsid w:val="78890146"/>
    <w:rsid w:val="78A90B04"/>
    <w:rsid w:val="78AE558D"/>
    <w:rsid w:val="78BD69DE"/>
    <w:rsid w:val="78C53485"/>
    <w:rsid w:val="78C76A01"/>
    <w:rsid w:val="78EC45D8"/>
    <w:rsid w:val="78EC6DF0"/>
    <w:rsid w:val="78F5335B"/>
    <w:rsid w:val="790A4622"/>
    <w:rsid w:val="79152376"/>
    <w:rsid w:val="791843E7"/>
    <w:rsid w:val="792730E6"/>
    <w:rsid w:val="79332105"/>
    <w:rsid w:val="79395A92"/>
    <w:rsid w:val="793A736F"/>
    <w:rsid w:val="794008FB"/>
    <w:rsid w:val="794708D9"/>
    <w:rsid w:val="794B21A1"/>
    <w:rsid w:val="7964574A"/>
    <w:rsid w:val="797A505D"/>
    <w:rsid w:val="79830E6C"/>
    <w:rsid w:val="79916C4B"/>
    <w:rsid w:val="79941CF2"/>
    <w:rsid w:val="79973382"/>
    <w:rsid w:val="79A10018"/>
    <w:rsid w:val="79BA66DB"/>
    <w:rsid w:val="79D33056"/>
    <w:rsid w:val="79EC0256"/>
    <w:rsid w:val="79F60153"/>
    <w:rsid w:val="79FB6E2C"/>
    <w:rsid w:val="7A000A00"/>
    <w:rsid w:val="7A211BEB"/>
    <w:rsid w:val="7A2E2677"/>
    <w:rsid w:val="7A4C2D60"/>
    <w:rsid w:val="7A587AF6"/>
    <w:rsid w:val="7A6E4BF5"/>
    <w:rsid w:val="7A805A0E"/>
    <w:rsid w:val="7A851D5D"/>
    <w:rsid w:val="7A8A2267"/>
    <w:rsid w:val="7A92511C"/>
    <w:rsid w:val="7A9F6F88"/>
    <w:rsid w:val="7AB53126"/>
    <w:rsid w:val="7AB76FE8"/>
    <w:rsid w:val="7AD268E2"/>
    <w:rsid w:val="7ADC0950"/>
    <w:rsid w:val="7ADC0B33"/>
    <w:rsid w:val="7AE14C19"/>
    <w:rsid w:val="7AEA174E"/>
    <w:rsid w:val="7AEC1B31"/>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70459"/>
    <w:rsid w:val="7BFE117C"/>
    <w:rsid w:val="7C1054B7"/>
    <w:rsid w:val="7C143FB0"/>
    <w:rsid w:val="7C21195F"/>
    <w:rsid w:val="7C26369C"/>
    <w:rsid w:val="7C2A465C"/>
    <w:rsid w:val="7C305879"/>
    <w:rsid w:val="7C34521A"/>
    <w:rsid w:val="7C4A2BD1"/>
    <w:rsid w:val="7C576C70"/>
    <w:rsid w:val="7C5B0211"/>
    <w:rsid w:val="7C6B62E7"/>
    <w:rsid w:val="7C6D5985"/>
    <w:rsid w:val="7C701814"/>
    <w:rsid w:val="7C77043F"/>
    <w:rsid w:val="7C77330E"/>
    <w:rsid w:val="7C8A7CDC"/>
    <w:rsid w:val="7C9E5A24"/>
    <w:rsid w:val="7CB4006B"/>
    <w:rsid w:val="7CB93ABB"/>
    <w:rsid w:val="7CC94A3F"/>
    <w:rsid w:val="7CCD2199"/>
    <w:rsid w:val="7CE656F0"/>
    <w:rsid w:val="7CE87FE8"/>
    <w:rsid w:val="7CEA683A"/>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514D2"/>
    <w:rsid w:val="7DA76928"/>
    <w:rsid w:val="7DCD4EB5"/>
    <w:rsid w:val="7DF83D1A"/>
    <w:rsid w:val="7DFF415C"/>
    <w:rsid w:val="7E090313"/>
    <w:rsid w:val="7E2E4C94"/>
    <w:rsid w:val="7E3E0B9F"/>
    <w:rsid w:val="7E3E0FEC"/>
    <w:rsid w:val="7E3E1EF2"/>
    <w:rsid w:val="7E436D4C"/>
    <w:rsid w:val="7E5949B5"/>
    <w:rsid w:val="7E5C1ABA"/>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5131F8"/>
    <w:rsid w:val="7F542B37"/>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 w:val="7F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9</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